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27" w:rsidRDefault="00EC6427" w:rsidP="0068104D">
      <w:pPr>
        <w:jc w:val="center"/>
        <w:rPr>
          <w:lang w:val="fr-FR"/>
        </w:rPr>
      </w:pPr>
    </w:p>
    <w:p w:rsidR="00D0210D" w:rsidRDefault="00D0210D" w:rsidP="0068104D">
      <w:pPr>
        <w:jc w:val="center"/>
        <w:rPr>
          <w:lang w:val="fr-FR"/>
        </w:rPr>
      </w:pPr>
    </w:p>
    <w:p w:rsidR="00D0210D" w:rsidRPr="00685582" w:rsidRDefault="00D0210D" w:rsidP="0068104D">
      <w:pPr>
        <w:jc w:val="center"/>
        <w:rPr>
          <w:lang w:val="fr-FR"/>
        </w:rPr>
      </w:pPr>
    </w:p>
    <w:p w:rsidR="00EC6427" w:rsidRPr="00685582" w:rsidRDefault="00155FF1" w:rsidP="0068104D">
      <w:pPr>
        <w:jc w:val="center"/>
        <w:rPr>
          <w:lang w:val="fr-FR"/>
        </w:rPr>
      </w:pPr>
      <w:r>
        <w:rPr>
          <w:lang w:val="fr-FR"/>
        </w:rPr>
        <w:t>DEUXIÈME SECTION</w:t>
      </w:r>
    </w:p>
    <w:p w:rsidR="00EC6427" w:rsidRDefault="00EC6427" w:rsidP="0068104D">
      <w:pPr>
        <w:jc w:val="center"/>
        <w:rPr>
          <w:lang w:val="fr-FR"/>
        </w:rPr>
      </w:pPr>
    </w:p>
    <w:p w:rsidR="00D0210D" w:rsidRDefault="00D0210D" w:rsidP="0068104D">
      <w:pPr>
        <w:jc w:val="center"/>
        <w:rPr>
          <w:lang w:val="fr-FR"/>
        </w:rPr>
      </w:pPr>
    </w:p>
    <w:p w:rsidR="00D0210D" w:rsidRDefault="00D0210D" w:rsidP="0068104D">
      <w:pPr>
        <w:jc w:val="center"/>
        <w:rPr>
          <w:lang w:val="fr-FR"/>
        </w:rPr>
      </w:pPr>
    </w:p>
    <w:p w:rsidR="00D0210D" w:rsidRDefault="00D0210D" w:rsidP="0068104D">
      <w:pPr>
        <w:jc w:val="center"/>
        <w:rPr>
          <w:lang w:val="fr-FR"/>
        </w:rPr>
      </w:pPr>
    </w:p>
    <w:p w:rsidR="00D0210D" w:rsidRDefault="00D0210D" w:rsidP="0068104D">
      <w:pPr>
        <w:jc w:val="center"/>
        <w:rPr>
          <w:lang w:val="fr-FR"/>
        </w:rPr>
      </w:pPr>
    </w:p>
    <w:p w:rsidR="00D0210D" w:rsidRPr="00685582" w:rsidRDefault="00D0210D" w:rsidP="0068104D">
      <w:pPr>
        <w:jc w:val="center"/>
        <w:rPr>
          <w:lang w:val="fr-FR"/>
        </w:rPr>
      </w:pPr>
    </w:p>
    <w:p w:rsidR="00EC6427" w:rsidRPr="00685582" w:rsidRDefault="00EC6427" w:rsidP="0068104D">
      <w:pPr>
        <w:jc w:val="center"/>
        <w:rPr>
          <w:b/>
          <w:lang w:val="fr-FR"/>
        </w:rPr>
      </w:pPr>
      <w:bookmarkStart w:id="0" w:name="To"/>
      <w:r w:rsidRPr="00685582">
        <w:rPr>
          <w:b/>
          <w:lang w:val="fr-FR"/>
        </w:rPr>
        <w:t xml:space="preserve">AFFAIRE </w:t>
      </w:r>
      <w:bookmarkEnd w:id="0"/>
      <w:r w:rsidR="00155FF1">
        <w:rPr>
          <w:b/>
          <w:lang w:val="fr-FR"/>
        </w:rPr>
        <w:t xml:space="preserve">BENENATI </w:t>
      </w:r>
      <w:r w:rsidR="00EB55B0">
        <w:rPr>
          <w:b/>
          <w:lang w:val="fr-FR"/>
        </w:rPr>
        <w:t>ET SCILLAM</w:t>
      </w:r>
      <w:r w:rsidR="00EB55B0">
        <w:rPr>
          <w:rFonts w:cstheme="minorHAnsi"/>
          <w:b/>
          <w:lang w:val="fr-FR"/>
        </w:rPr>
        <w:t>À</w:t>
      </w:r>
      <w:r w:rsidR="00EB55B0">
        <w:rPr>
          <w:b/>
          <w:lang w:val="fr-FR"/>
        </w:rPr>
        <w:t xml:space="preserve"> </w:t>
      </w:r>
      <w:r w:rsidR="00155FF1">
        <w:rPr>
          <w:b/>
          <w:lang w:val="fr-FR"/>
        </w:rPr>
        <w:t>c. ITALIE</w:t>
      </w:r>
    </w:p>
    <w:p w:rsidR="00EC6427" w:rsidRPr="00685582" w:rsidRDefault="00EC6427" w:rsidP="0068104D">
      <w:pPr>
        <w:jc w:val="center"/>
        <w:rPr>
          <w:lang w:val="fr-FR"/>
        </w:rPr>
      </w:pPr>
    </w:p>
    <w:p w:rsidR="00D0210D" w:rsidRDefault="00EC6427" w:rsidP="0068104D">
      <w:pPr>
        <w:jc w:val="center"/>
        <w:rPr>
          <w:szCs w:val="24"/>
          <w:lang w:val="fr-FR"/>
        </w:rPr>
      </w:pPr>
      <w:r w:rsidRPr="00685582">
        <w:rPr>
          <w:i/>
          <w:lang w:val="fr-FR"/>
        </w:rPr>
        <w:t>(</w:t>
      </w:r>
      <w:r w:rsidR="00155FF1" w:rsidRPr="00685582">
        <w:rPr>
          <w:i/>
          <w:lang w:val="fr-FR"/>
        </w:rPr>
        <w:t>Requête n</w:t>
      </w:r>
      <w:r w:rsidR="00155FF1" w:rsidRPr="00685582">
        <w:rPr>
          <w:i/>
          <w:vertAlign w:val="superscript"/>
          <w:lang w:val="fr-FR"/>
        </w:rPr>
        <w:t>o</w:t>
      </w:r>
      <w:r w:rsidR="00155FF1" w:rsidRPr="00685582">
        <w:rPr>
          <w:i/>
          <w:lang w:val="fr-FR"/>
        </w:rPr>
        <w:t xml:space="preserve"> </w:t>
      </w:r>
      <w:r w:rsidR="00155FF1">
        <w:rPr>
          <w:i/>
          <w:lang w:val="fr-FR"/>
        </w:rPr>
        <w:t>33312/03</w:t>
      </w:r>
      <w:r w:rsidRPr="00685582">
        <w:rPr>
          <w:i/>
          <w:lang w:val="fr-FR"/>
        </w:rPr>
        <w:t>)</w:t>
      </w:r>
    </w:p>
    <w:p w:rsidR="00D0210D" w:rsidRDefault="00D0210D" w:rsidP="0068104D">
      <w:pPr>
        <w:jc w:val="center"/>
        <w:rPr>
          <w:szCs w:val="24"/>
          <w:u w:val="single"/>
          <w:lang w:val="fr-FR"/>
        </w:rPr>
      </w:pPr>
    </w:p>
    <w:p w:rsidR="00D0210D" w:rsidRDefault="00D0210D" w:rsidP="0068104D">
      <w:pPr>
        <w:jc w:val="center"/>
        <w:rPr>
          <w:szCs w:val="24"/>
          <w:u w:val="single"/>
          <w:lang w:val="fr-FR"/>
        </w:rPr>
      </w:pPr>
    </w:p>
    <w:p w:rsidR="00D0210D" w:rsidRDefault="00D0210D" w:rsidP="0068104D">
      <w:pPr>
        <w:jc w:val="center"/>
        <w:rPr>
          <w:szCs w:val="24"/>
          <w:u w:val="single"/>
          <w:lang w:val="fr-FR"/>
        </w:rPr>
      </w:pPr>
    </w:p>
    <w:p w:rsidR="00D0210D" w:rsidRDefault="00D0210D" w:rsidP="0068104D">
      <w:pPr>
        <w:jc w:val="center"/>
        <w:rPr>
          <w:szCs w:val="24"/>
          <w:u w:val="single"/>
          <w:lang w:val="fr-FR"/>
        </w:rPr>
      </w:pPr>
    </w:p>
    <w:p w:rsidR="00D0210D" w:rsidRDefault="00D0210D" w:rsidP="0068104D">
      <w:pPr>
        <w:jc w:val="center"/>
        <w:rPr>
          <w:szCs w:val="24"/>
          <w:u w:val="single"/>
          <w:lang w:val="fr-FR"/>
        </w:rPr>
      </w:pPr>
    </w:p>
    <w:p w:rsidR="00D0210D" w:rsidRDefault="00D0210D" w:rsidP="0068104D">
      <w:pPr>
        <w:jc w:val="center"/>
        <w:rPr>
          <w:szCs w:val="24"/>
          <w:u w:val="single"/>
          <w:lang w:val="fr-FR"/>
        </w:rPr>
      </w:pPr>
    </w:p>
    <w:p w:rsidR="00D0210D" w:rsidRDefault="00D0210D" w:rsidP="0068104D">
      <w:pPr>
        <w:jc w:val="center"/>
        <w:rPr>
          <w:szCs w:val="24"/>
          <w:u w:val="single"/>
          <w:lang w:val="fr-FR"/>
        </w:rPr>
      </w:pPr>
    </w:p>
    <w:p w:rsidR="00D0210D" w:rsidRDefault="00D0210D" w:rsidP="0068104D">
      <w:pPr>
        <w:jc w:val="center"/>
        <w:rPr>
          <w:szCs w:val="24"/>
          <w:u w:val="single"/>
          <w:lang w:val="fr-FR"/>
        </w:rPr>
      </w:pPr>
    </w:p>
    <w:p w:rsidR="00D0210D" w:rsidRDefault="00D0210D" w:rsidP="0068104D">
      <w:pPr>
        <w:jc w:val="center"/>
        <w:rPr>
          <w:szCs w:val="24"/>
          <w:u w:val="single"/>
          <w:lang w:val="fr-FR"/>
        </w:rPr>
      </w:pPr>
    </w:p>
    <w:p w:rsidR="00D0210D" w:rsidRPr="00D0210D" w:rsidRDefault="00D0210D" w:rsidP="00D0210D">
      <w:pPr>
        <w:jc w:val="center"/>
        <w:rPr>
          <w:szCs w:val="24"/>
          <w:lang w:val="fr-FR"/>
        </w:rPr>
      </w:pPr>
      <w:r>
        <w:rPr>
          <w:szCs w:val="24"/>
          <w:lang w:val="fr-FR"/>
        </w:rPr>
        <w:t>ARRÊT</w:t>
      </w:r>
    </w:p>
    <w:p w:rsidR="00D0210D" w:rsidRDefault="00D0210D" w:rsidP="00203A00">
      <w:pPr>
        <w:pStyle w:val="JuCase"/>
        <w:ind w:firstLine="0"/>
        <w:jc w:val="center"/>
        <w:rPr>
          <w:lang w:val="fr-FR"/>
        </w:rPr>
      </w:pPr>
    </w:p>
    <w:p w:rsidR="00670DDC" w:rsidRPr="00203A00" w:rsidRDefault="00670DDC" w:rsidP="00203A00">
      <w:pPr>
        <w:pStyle w:val="ECHRPara"/>
        <w:ind w:firstLine="0"/>
        <w:jc w:val="center"/>
        <w:rPr>
          <w:lang w:val="fr-FR"/>
        </w:rPr>
      </w:pPr>
    </w:p>
    <w:p w:rsidR="00D0210D" w:rsidRPr="00203A00" w:rsidRDefault="00D0210D" w:rsidP="00203A00">
      <w:pPr>
        <w:pStyle w:val="ECHRPara"/>
        <w:ind w:firstLine="0"/>
        <w:jc w:val="center"/>
        <w:rPr>
          <w:lang w:val="fr-FR"/>
        </w:rPr>
      </w:pPr>
    </w:p>
    <w:p w:rsidR="00D0210D" w:rsidRPr="00203A00" w:rsidRDefault="00D0210D" w:rsidP="00203A00">
      <w:pPr>
        <w:pStyle w:val="ECHRPara"/>
        <w:ind w:firstLine="0"/>
        <w:jc w:val="center"/>
        <w:rPr>
          <w:lang w:val="fr-FR"/>
        </w:rPr>
      </w:pPr>
    </w:p>
    <w:p w:rsidR="00D0210D" w:rsidRPr="00203A00" w:rsidRDefault="00D0210D" w:rsidP="00203A00">
      <w:pPr>
        <w:pStyle w:val="ECHRPara"/>
        <w:ind w:firstLine="0"/>
        <w:jc w:val="center"/>
        <w:rPr>
          <w:lang w:val="fr-FR"/>
        </w:rPr>
      </w:pPr>
    </w:p>
    <w:p w:rsidR="00D0210D" w:rsidRPr="00203A00" w:rsidRDefault="00D0210D" w:rsidP="00203A00">
      <w:pPr>
        <w:pStyle w:val="ECHRPara"/>
        <w:ind w:firstLine="0"/>
        <w:jc w:val="center"/>
        <w:rPr>
          <w:lang w:val="fr-FR"/>
        </w:rPr>
      </w:pPr>
      <w:r w:rsidRPr="00203A00">
        <w:rPr>
          <w:lang w:val="fr-FR"/>
        </w:rPr>
        <w:t>STRASBOURG</w:t>
      </w:r>
    </w:p>
    <w:p w:rsidR="00D0210D" w:rsidRPr="00203A00" w:rsidRDefault="00D0210D" w:rsidP="00203A00">
      <w:pPr>
        <w:pStyle w:val="ECHRPara"/>
        <w:ind w:firstLine="0"/>
        <w:jc w:val="center"/>
        <w:rPr>
          <w:lang w:val="fr-FR"/>
        </w:rPr>
      </w:pPr>
    </w:p>
    <w:p w:rsidR="00D0210D" w:rsidRPr="00203A00" w:rsidRDefault="00BB0A56" w:rsidP="00203A00">
      <w:pPr>
        <w:pStyle w:val="ECHRPara"/>
        <w:ind w:firstLine="0"/>
        <w:jc w:val="center"/>
        <w:rPr>
          <w:lang w:val="fr-FR"/>
        </w:rPr>
      </w:pPr>
      <w:r w:rsidRPr="00203A00">
        <w:rPr>
          <w:lang w:val="fr-FR"/>
        </w:rPr>
        <w:t>4 février 2014</w:t>
      </w:r>
    </w:p>
    <w:p w:rsidR="00D0210D" w:rsidRPr="00203A00" w:rsidRDefault="00D0210D" w:rsidP="00203A00">
      <w:pPr>
        <w:pStyle w:val="ECHRPara"/>
        <w:ind w:firstLine="0"/>
        <w:jc w:val="center"/>
        <w:rPr>
          <w:lang w:val="fr-FR"/>
        </w:rPr>
      </w:pPr>
    </w:p>
    <w:p w:rsidR="00D0210D" w:rsidRPr="00203A00" w:rsidRDefault="00D0210D" w:rsidP="00203A00">
      <w:pPr>
        <w:pStyle w:val="ECHRPara"/>
        <w:ind w:firstLine="0"/>
        <w:jc w:val="center"/>
        <w:rPr>
          <w:lang w:val="fr-FR"/>
        </w:rPr>
      </w:pPr>
    </w:p>
    <w:p w:rsidR="00BD6B61" w:rsidRPr="00203A00" w:rsidRDefault="00BD6B61" w:rsidP="00203A00">
      <w:pPr>
        <w:pStyle w:val="ECHRPara"/>
        <w:ind w:firstLine="0"/>
        <w:jc w:val="center"/>
        <w:rPr>
          <w:lang w:val="fr-FR"/>
        </w:rPr>
      </w:pPr>
    </w:p>
    <w:p w:rsidR="00670DDC" w:rsidRPr="00203A00" w:rsidRDefault="00670DDC" w:rsidP="00203A00">
      <w:pPr>
        <w:pStyle w:val="ECHRPara"/>
        <w:ind w:firstLine="0"/>
        <w:jc w:val="center"/>
        <w:rPr>
          <w:lang w:val="fr-FR"/>
        </w:rPr>
      </w:pPr>
    </w:p>
    <w:p w:rsidR="00BD6B61" w:rsidRPr="00203A00" w:rsidRDefault="00BD6B61" w:rsidP="00203A00">
      <w:pPr>
        <w:pStyle w:val="ECHRPara"/>
        <w:ind w:firstLine="0"/>
        <w:jc w:val="center"/>
        <w:rPr>
          <w:lang w:val="fr-FR"/>
        </w:rPr>
      </w:pPr>
    </w:p>
    <w:p w:rsidR="00BD6B61" w:rsidRPr="00203A00" w:rsidRDefault="00BD6B61" w:rsidP="00203A00">
      <w:pPr>
        <w:pStyle w:val="ECHRPara"/>
        <w:ind w:firstLine="0"/>
        <w:jc w:val="center"/>
        <w:rPr>
          <w:lang w:val="fr-FR"/>
        </w:rPr>
      </w:pPr>
    </w:p>
    <w:p w:rsidR="00D0210D" w:rsidRPr="00203A00" w:rsidRDefault="00D0210D" w:rsidP="00203A00">
      <w:pPr>
        <w:pStyle w:val="ECHRPara"/>
        <w:ind w:firstLine="0"/>
        <w:jc w:val="center"/>
        <w:rPr>
          <w:i/>
          <w:sz w:val="22"/>
          <w:lang w:val="fr-FR"/>
        </w:rPr>
      </w:pPr>
      <w:r w:rsidRPr="00203A00">
        <w:rPr>
          <w:i/>
          <w:sz w:val="22"/>
          <w:lang w:val="fr-FR"/>
        </w:rPr>
        <w:t>Cet arrêt est définitif. Il peut subir des retouches de forme.</w:t>
      </w:r>
    </w:p>
    <w:p w:rsidR="008D5E7F" w:rsidRPr="00203A00" w:rsidRDefault="008D5E7F" w:rsidP="00D0210D">
      <w:pPr>
        <w:pStyle w:val="ECHRPara"/>
        <w:ind w:firstLine="0"/>
        <w:rPr>
          <w:lang w:val="fr-FR"/>
        </w:rPr>
        <w:sectPr w:rsidR="008D5E7F" w:rsidRPr="00203A00" w:rsidSect="00D0210D">
          <w:headerReference w:type="default" r:id="rId8"/>
          <w:headerReference w:type="first" r:id="rId9"/>
          <w:footerReference w:type="first" r:id="rId10"/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EC6427" w:rsidRPr="00685582" w:rsidRDefault="00EC6427" w:rsidP="0068104D">
      <w:pPr>
        <w:pStyle w:val="JuCase"/>
        <w:rPr>
          <w:lang w:val="fr-FR"/>
        </w:rPr>
      </w:pPr>
      <w:r w:rsidRPr="00685582">
        <w:rPr>
          <w:lang w:val="fr-FR"/>
        </w:rPr>
        <w:t>En l</w:t>
      </w:r>
      <w:r w:rsidR="00203A00">
        <w:rPr>
          <w:lang w:val="fr-FR"/>
        </w:rPr>
        <w:t>’</w:t>
      </w:r>
      <w:r w:rsidRPr="00685582">
        <w:rPr>
          <w:lang w:val="fr-FR"/>
        </w:rPr>
        <w:t xml:space="preserve">affaire </w:t>
      </w:r>
      <w:r w:rsidR="00155FF1">
        <w:rPr>
          <w:lang w:val="fr-FR"/>
        </w:rPr>
        <w:t xml:space="preserve">Benenati </w:t>
      </w:r>
      <w:r w:rsidR="00DD3AEB">
        <w:rPr>
          <w:lang w:val="fr-FR"/>
        </w:rPr>
        <w:t xml:space="preserve">et Scillamà </w:t>
      </w:r>
      <w:r w:rsidR="00155FF1">
        <w:rPr>
          <w:lang w:val="fr-FR"/>
        </w:rPr>
        <w:t>c. Italie</w:t>
      </w:r>
      <w:r w:rsidRPr="00685582">
        <w:rPr>
          <w:lang w:val="fr-FR"/>
        </w:rPr>
        <w:t>,</w:t>
      </w:r>
    </w:p>
    <w:p w:rsidR="00362D1F" w:rsidRPr="00203A00" w:rsidRDefault="00EC6427" w:rsidP="0068104D">
      <w:pPr>
        <w:pStyle w:val="ECHRPara"/>
        <w:rPr>
          <w:lang w:val="fr-FR"/>
        </w:rPr>
      </w:pPr>
      <w:r w:rsidRPr="00203A00">
        <w:rPr>
          <w:lang w:val="fr-FR"/>
        </w:rPr>
        <w:t xml:space="preserve">La Cour européenne des </w:t>
      </w:r>
      <w:r w:rsidR="00445E54" w:rsidRPr="00203A00">
        <w:rPr>
          <w:lang w:val="fr-FR"/>
        </w:rPr>
        <w:t>d</w:t>
      </w:r>
      <w:r w:rsidRPr="00203A00">
        <w:rPr>
          <w:lang w:val="fr-FR"/>
        </w:rPr>
        <w:t>roits de l</w:t>
      </w:r>
      <w:r w:rsidR="00203A00">
        <w:rPr>
          <w:lang w:val="fr-FR"/>
        </w:rPr>
        <w:t>’</w:t>
      </w:r>
      <w:r w:rsidR="00445E54" w:rsidRPr="00203A00">
        <w:rPr>
          <w:lang w:val="fr-FR"/>
        </w:rPr>
        <w:t>h</w:t>
      </w:r>
      <w:r w:rsidRPr="00203A00">
        <w:rPr>
          <w:lang w:val="fr-FR"/>
        </w:rPr>
        <w:t>omme</w:t>
      </w:r>
      <w:r w:rsidR="00DE593D" w:rsidRPr="00203A00">
        <w:rPr>
          <w:lang w:val="fr-FR"/>
        </w:rPr>
        <w:t xml:space="preserve"> (</w:t>
      </w:r>
      <w:r w:rsidR="00155FF1" w:rsidRPr="00203A00">
        <w:rPr>
          <w:lang w:val="fr-FR"/>
        </w:rPr>
        <w:t>deuxième section</w:t>
      </w:r>
      <w:r w:rsidR="00DE593D" w:rsidRPr="00203A00">
        <w:rPr>
          <w:lang w:val="fr-FR"/>
        </w:rPr>
        <w:t>)</w:t>
      </w:r>
      <w:r w:rsidRPr="00203A00">
        <w:rPr>
          <w:lang w:val="fr-FR"/>
        </w:rPr>
        <w:t xml:space="preserve">, siégeant en </w:t>
      </w:r>
      <w:r w:rsidR="00155FF1" w:rsidRPr="00203A00">
        <w:rPr>
          <w:lang w:val="fr-FR"/>
        </w:rPr>
        <w:t>un comité composé</w:t>
      </w:r>
      <w:r w:rsidR="004702BA" w:rsidRPr="00203A00">
        <w:rPr>
          <w:lang w:val="fr-FR"/>
        </w:rPr>
        <w:t xml:space="preserve"> </w:t>
      </w:r>
      <w:r w:rsidR="00362D1F" w:rsidRPr="00203A00">
        <w:rPr>
          <w:lang w:val="fr-FR"/>
        </w:rPr>
        <w:t>de :</w:t>
      </w:r>
    </w:p>
    <w:p w:rsidR="0009234F" w:rsidRPr="00685582" w:rsidRDefault="00BB0A56" w:rsidP="0068104D">
      <w:pPr>
        <w:pStyle w:val="ECHRDecisionBody"/>
      </w:pPr>
      <w:r w:rsidRPr="00BB0A56">
        <w:tab/>
        <w:t>Dragoljub</w:t>
      </w:r>
      <w:r>
        <w:t xml:space="preserve"> </w:t>
      </w:r>
      <w:r w:rsidRPr="00BB0A56">
        <w:t>Popović</w:t>
      </w:r>
      <w:r>
        <w:t>,</w:t>
      </w:r>
      <w:r w:rsidRPr="00BB0A56">
        <w:rPr>
          <w:i/>
        </w:rPr>
        <w:t xml:space="preserve"> président,</w:t>
      </w:r>
      <w:r>
        <w:rPr>
          <w:i/>
        </w:rPr>
        <w:br/>
      </w:r>
      <w:r w:rsidRPr="00BB0A56">
        <w:tab/>
        <w:t>Paulo</w:t>
      </w:r>
      <w:r>
        <w:t xml:space="preserve"> </w:t>
      </w:r>
      <w:r w:rsidRPr="00BB0A56">
        <w:t>Pinto de Albuquerque</w:t>
      </w:r>
      <w:r>
        <w:t>,</w:t>
      </w:r>
      <w:r>
        <w:rPr>
          <w:i/>
        </w:rPr>
        <w:br/>
      </w:r>
      <w:r w:rsidRPr="00BB0A56">
        <w:tab/>
        <w:t>Helen</w:t>
      </w:r>
      <w:r>
        <w:t xml:space="preserve"> </w:t>
      </w:r>
      <w:r w:rsidRPr="00BB0A56">
        <w:t>Keller</w:t>
      </w:r>
      <w:r>
        <w:t>,</w:t>
      </w:r>
      <w:r w:rsidRPr="00BB0A56">
        <w:rPr>
          <w:i/>
        </w:rPr>
        <w:t xml:space="preserve"> juges,</w:t>
      </w:r>
      <w:r w:rsidR="0009234F" w:rsidRPr="00685582">
        <w:br/>
        <w:t>et de</w:t>
      </w:r>
      <w:r w:rsidR="00311FB6" w:rsidRPr="00311FB6">
        <w:rPr>
          <w:rFonts w:ascii="Times New Roman" w:eastAsia="Times New Roman" w:hAnsi="Times New Roman" w:cs="Times New Roman"/>
          <w:szCs w:val="20"/>
        </w:rPr>
        <w:t xml:space="preserve"> Fatoş Aracı</w:t>
      </w:r>
      <w:r w:rsidR="00155FF1">
        <w:t xml:space="preserve"> </w:t>
      </w:r>
      <w:r w:rsidR="004E3393" w:rsidRPr="00685582">
        <w:t xml:space="preserve">, </w:t>
      </w:r>
      <w:r w:rsidR="00155FF1" w:rsidRPr="00685582">
        <w:rPr>
          <w:i/>
        </w:rPr>
        <w:t>greffière adjointe</w:t>
      </w:r>
      <w:r w:rsidR="00155FF1" w:rsidRPr="00685582">
        <w:rPr>
          <w:iCs/>
        </w:rPr>
        <w:t xml:space="preserve"> </w:t>
      </w:r>
      <w:r w:rsidR="00155FF1" w:rsidRPr="00685582">
        <w:rPr>
          <w:i/>
          <w:iCs/>
        </w:rPr>
        <w:t>d</w:t>
      </w:r>
      <w:r w:rsidR="00155FF1" w:rsidRPr="00685582">
        <w:rPr>
          <w:i/>
        </w:rPr>
        <w:t>e section</w:t>
      </w:r>
      <w:r w:rsidR="002C6EA4">
        <w:rPr>
          <w:i/>
        </w:rPr>
        <w:t xml:space="preserve"> f.f.</w:t>
      </w:r>
      <w:r w:rsidR="0009234F" w:rsidRPr="00685582">
        <w:rPr>
          <w:i/>
        </w:rPr>
        <w:t>,</w:t>
      </w:r>
    </w:p>
    <w:p w:rsidR="00EC6427" w:rsidRPr="00203A00" w:rsidRDefault="00EC6427" w:rsidP="0068104D">
      <w:pPr>
        <w:pStyle w:val="ECHRPara"/>
        <w:rPr>
          <w:lang w:val="fr-FR"/>
        </w:rPr>
      </w:pPr>
      <w:r w:rsidRPr="00203A00">
        <w:rPr>
          <w:lang w:val="fr-FR"/>
        </w:rPr>
        <w:t>Après en avoir délibéré en chambre du conseil le</w:t>
      </w:r>
      <w:r w:rsidR="00BB0A56" w:rsidRPr="00203A00">
        <w:rPr>
          <w:lang w:val="fr-FR"/>
        </w:rPr>
        <w:t xml:space="preserve"> 14 janvier 2014</w:t>
      </w:r>
      <w:r w:rsidRPr="00203A00">
        <w:rPr>
          <w:lang w:val="fr-FR"/>
        </w:rPr>
        <w:t>,</w:t>
      </w:r>
    </w:p>
    <w:p w:rsidR="00EC6427" w:rsidRPr="00203A00" w:rsidRDefault="00EC6427" w:rsidP="0068104D">
      <w:pPr>
        <w:pStyle w:val="ECHRPara"/>
        <w:rPr>
          <w:lang w:val="fr-FR"/>
        </w:rPr>
      </w:pPr>
      <w:r w:rsidRPr="00203A00">
        <w:rPr>
          <w:lang w:val="fr-FR"/>
        </w:rPr>
        <w:t>Rend l</w:t>
      </w:r>
      <w:r w:rsidR="00203A00">
        <w:rPr>
          <w:lang w:val="fr-FR"/>
        </w:rPr>
        <w:t>’</w:t>
      </w:r>
      <w:r w:rsidRPr="00203A00">
        <w:rPr>
          <w:lang w:val="fr-FR"/>
        </w:rPr>
        <w:t>arrêt que voici, adopté à cette date :</w:t>
      </w:r>
    </w:p>
    <w:p w:rsidR="00EC6427" w:rsidRPr="00685582" w:rsidRDefault="00EC6427" w:rsidP="00B33C50">
      <w:pPr>
        <w:pStyle w:val="ECHRTitle1"/>
      </w:pPr>
      <w:r w:rsidRPr="00685582">
        <w:t>PROCÉDURE</w:t>
      </w:r>
    </w:p>
    <w:p w:rsidR="00EC6427" w:rsidRPr="00203A00" w:rsidRDefault="00203A00" w:rsidP="00311FB6">
      <w:pPr>
        <w:pStyle w:val="ECHRPara"/>
        <w:rPr>
          <w:lang w:val="fr-FR"/>
        </w:rPr>
      </w:pPr>
      <w:r>
        <w:fldChar w:fldCharType="begin"/>
      </w:r>
      <w:r w:rsidRPr="00203A00">
        <w:rPr>
          <w:lang w:val="fr-FR"/>
        </w:rPr>
        <w:instrText xml:space="preserve"> SEQ level0 \*arabic </w:instrText>
      </w:r>
      <w:r>
        <w:fldChar w:fldCharType="separate"/>
      </w:r>
      <w:r w:rsidR="009E7656">
        <w:rPr>
          <w:noProof/>
          <w:lang w:val="fr-FR"/>
        </w:rPr>
        <w:t>1</w:t>
      </w:r>
      <w:r>
        <w:rPr>
          <w:noProof/>
        </w:rPr>
        <w:fldChar w:fldCharType="end"/>
      </w:r>
      <w:r w:rsidR="00311FB6" w:rsidRPr="00203A00">
        <w:rPr>
          <w:lang w:val="fr-FR"/>
        </w:rPr>
        <w:t>.  </w:t>
      </w:r>
      <w:r w:rsidR="00C83D59" w:rsidRPr="00203A00">
        <w:rPr>
          <w:lang w:val="fr-FR"/>
        </w:rPr>
        <w:t>À</w:t>
      </w:r>
      <w:r w:rsidR="00EC6427" w:rsidRPr="00203A00">
        <w:rPr>
          <w:lang w:val="fr-FR"/>
        </w:rPr>
        <w:t xml:space="preserve"> l</w:t>
      </w:r>
      <w:r>
        <w:rPr>
          <w:lang w:val="fr-FR"/>
        </w:rPr>
        <w:t>’</w:t>
      </w:r>
      <w:r w:rsidR="00EC6427" w:rsidRPr="00203A00">
        <w:rPr>
          <w:lang w:val="fr-FR"/>
        </w:rPr>
        <w:t>origine de l</w:t>
      </w:r>
      <w:r>
        <w:rPr>
          <w:lang w:val="fr-FR"/>
        </w:rPr>
        <w:t>’</w:t>
      </w:r>
      <w:r w:rsidR="00EC6427" w:rsidRPr="00203A00">
        <w:rPr>
          <w:lang w:val="fr-FR"/>
        </w:rPr>
        <w:t xml:space="preserve">affaire </w:t>
      </w:r>
      <w:r w:rsidR="00155FF1" w:rsidRPr="00203A00">
        <w:rPr>
          <w:lang w:val="fr-FR"/>
        </w:rPr>
        <w:t>se trouve une requête (n</w:t>
      </w:r>
      <w:r w:rsidR="00155FF1" w:rsidRPr="00203A00">
        <w:rPr>
          <w:vertAlign w:val="superscript"/>
          <w:lang w:val="fr-FR"/>
        </w:rPr>
        <w:t>o</w:t>
      </w:r>
      <w:r w:rsidR="00155FF1" w:rsidRPr="00203A00">
        <w:rPr>
          <w:lang w:val="fr-FR"/>
        </w:rPr>
        <w:t xml:space="preserve"> 33312/03) dirigée</w:t>
      </w:r>
      <w:r w:rsidR="00EC6427" w:rsidRPr="00203A00">
        <w:rPr>
          <w:lang w:val="fr-FR"/>
        </w:rPr>
        <w:t xml:space="preserve"> contre </w:t>
      </w:r>
      <w:r w:rsidR="00155FF1" w:rsidRPr="00203A00">
        <w:rPr>
          <w:lang w:val="fr-FR"/>
        </w:rPr>
        <w:t>la République italienne</w:t>
      </w:r>
      <w:r w:rsidR="00EC6427" w:rsidRPr="00203A00">
        <w:rPr>
          <w:lang w:val="fr-FR"/>
        </w:rPr>
        <w:t xml:space="preserve"> et dont </w:t>
      </w:r>
      <w:r w:rsidR="00E278CE" w:rsidRPr="00203A00">
        <w:rPr>
          <w:lang w:val="fr-FR"/>
        </w:rPr>
        <w:t>trois</w:t>
      </w:r>
      <w:r w:rsidR="00155FF1" w:rsidRPr="00203A00">
        <w:rPr>
          <w:lang w:val="fr-FR"/>
        </w:rPr>
        <w:t xml:space="preserve"> ressortissants de cet </w:t>
      </w:r>
      <w:r w:rsidR="00C83D59" w:rsidRPr="00203A00">
        <w:rPr>
          <w:lang w:val="fr-FR"/>
        </w:rPr>
        <w:t>État</w:t>
      </w:r>
      <w:r w:rsidR="00155FF1" w:rsidRPr="00203A00">
        <w:rPr>
          <w:lang w:val="fr-FR"/>
        </w:rPr>
        <w:t>, MM.</w:t>
      </w:r>
      <w:r w:rsidR="00201EAC" w:rsidRPr="00203A00">
        <w:rPr>
          <w:lang w:val="fr-FR"/>
        </w:rPr>
        <w:t> </w:t>
      </w:r>
      <w:r w:rsidR="00155FF1" w:rsidRPr="00203A00">
        <w:rPr>
          <w:lang w:val="fr-FR"/>
        </w:rPr>
        <w:t>Giacomo Benenati</w:t>
      </w:r>
      <w:r w:rsidR="00E278CE" w:rsidRPr="00203A00">
        <w:rPr>
          <w:lang w:val="fr-FR"/>
        </w:rPr>
        <w:t xml:space="preserve">, Giacomo Scillamà et </w:t>
      </w:r>
      <w:r w:rsidR="0055092B" w:rsidRPr="00203A00">
        <w:rPr>
          <w:lang w:val="fr-FR"/>
        </w:rPr>
        <w:t>M</w:t>
      </w:r>
      <w:r w:rsidR="0055092B" w:rsidRPr="00203A00">
        <w:rPr>
          <w:vertAlign w:val="superscript"/>
          <w:lang w:val="fr-FR"/>
        </w:rPr>
        <w:t>me</w:t>
      </w:r>
      <w:r w:rsidR="0055092B" w:rsidRPr="00203A00">
        <w:rPr>
          <w:lang w:val="fr-FR"/>
        </w:rPr>
        <w:t xml:space="preserve"> </w:t>
      </w:r>
      <w:r w:rsidR="00E278CE" w:rsidRPr="00203A00">
        <w:rPr>
          <w:lang w:val="fr-FR"/>
        </w:rPr>
        <w:t>Anna Scillam</w:t>
      </w:r>
      <w:r w:rsidR="00CF59F5" w:rsidRPr="00203A00">
        <w:rPr>
          <w:lang w:val="fr-FR"/>
        </w:rPr>
        <w:t>à</w:t>
      </w:r>
      <w:r w:rsidR="00155FF1" w:rsidRPr="00203A00">
        <w:rPr>
          <w:lang w:val="fr-FR"/>
        </w:rPr>
        <w:t xml:space="preserve"> (« les requérants »), ont saisi la Cour le 3 octobre 2003</w:t>
      </w:r>
      <w:r w:rsidR="00EC6427" w:rsidRPr="00203A00">
        <w:rPr>
          <w:lang w:val="fr-FR"/>
        </w:rPr>
        <w:t xml:space="preserve"> en vertu de </w:t>
      </w:r>
      <w:r w:rsidR="00155FF1" w:rsidRPr="00203A00">
        <w:rPr>
          <w:lang w:val="fr-FR"/>
        </w:rPr>
        <w:t>l</w:t>
      </w:r>
      <w:r>
        <w:rPr>
          <w:lang w:val="fr-FR"/>
        </w:rPr>
        <w:t>’</w:t>
      </w:r>
      <w:r w:rsidR="00155FF1" w:rsidRPr="00203A00">
        <w:rPr>
          <w:lang w:val="fr-FR"/>
        </w:rPr>
        <w:t>article 34</w:t>
      </w:r>
      <w:r w:rsidR="00EC6427" w:rsidRPr="00203A00">
        <w:rPr>
          <w:lang w:val="fr-FR"/>
        </w:rPr>
        <w:t xml:space="preserve"> de la Convention de sauvegarde des </w:t>
      </w:r>
      <w:r w:rsidR="00445E54" w:rsidRPr="00203A00">
        <w:rPr>
          <w:lang w:val="fr-FR"/>
        </w:rPr>
        <w:t>d</w:t>
      </w:r>
      <w:r w:rsidR="00EC6427" w:rsidRPr="00203A00">
        <w:rPr>
          <w:lang w:val="fr-FR"/>
        </w:rPr>
        <w:t>roits de l</w:t>
      </w:r>
      <w:r>
        <w:rPr>
          <w:lang w:val="fr-FR"/>
        </w:rPr>
        <w:t>’</w:t>
      </w:r>
      <w:r w:rsidR="00445E54" w:rsidRPr="00203A00">
        <w:rPr>
          <w:lang w:val="fr-FR"/>
        </w:rPr>
        <w:t>h</w:t>
      </w:r>
      <w:r w:rsidR="00DC1AF9" w:rsidRPr="00203A00">
        <w:rPr>
          <w:lang w:val="fr-FR"/>
        </w:rPr>
        <w:t>omme et des l</w:t>
      </w:r>
      <w:r w:rsidR="00EC6427" w:rsidRPr="00203A00">
        <w:rPr>
          <w:lang w:val="fr-FR"/>
        </w:rPr>
        <w:t>ibertés fondamentales (« la Convention »).</w:t>
      </w:r>
    </w:p>
    <w:p w:rsidR="00155FF1" w:rsidRPr="00203A00" w:rsidRDefault="00155FF1" w:rsidP="00311FB6">
      <w:pPr>
        <w:pStyle w:val="ECHRPara"/>
        <w:rPr>
          <w:lang w:val="fr-FR"/>
        </w:rPr>
      </w:pPr>
      <w:r>
        <w:rPr>
          <w:lang w:val="en-GB"/>
        </w:rPr>
        <w:fldChar w:fldCharType="begin"/>
      </w:r>
      <w:r w:rsidRPr="00203A00">
        <w:rPr>
          <w:lang w:val="fr-FR"/>
        </w:rPr>
        <w:instrText xml:space="preserve"> SEQ level0 \*arabic </w:instrText>
      </w:r>
      <w:r>
        <w:rPr>
          <w:lang w:val="en-GB"/>
        </w:rPr>
        <w:fldChar w:fldCharType="separate"/>
      </w:r>
      <w:r w:rsidR="009E7656">
        <w:rPr>
          <w:noProof/>
          <w:lang w:val="fr-FR"/>
        </w:rPr>
        <w:t>2</w:t>
      </w:r>
      <w:r>
        <w:rPr>
          <w:lang w:val="en-GB"/>
        </w:rPr>
        <w:fldChar w:fldCharType="end"/>
      </w:r>
      <w:r w:rsidR="00EC6427" w:rsidRPr="00203A00">
        <w:rPr>
          <w:lang w:val="fr-FR"/>
        </w:rPr>
        <w:t>.  </w:t>
      </w:r>
      <w:r w:rsidRPr="00203A00">
        <w:rPr>
          <w:lang w:val="fr-FR"/>
        </w:rPr>
        <w:t>Les requérants ont été représentés par M</w:t>
      </w:r>
      <w:r w:rsidRPr="00203A00">
        <w:rPr>
          <w:vertAlign w:val="superscript"/>
          <w:lang w:val="fr-FR"/>
        </w:rPr>
        <w:t>e</w:t>
      </w:r>
      <w:r w:rsidRPr="00203A00">
        <w:rPr>
          <w:lang w:val="fr-FR"/>
        </w:rPr>
        <w:t xml:space="preserve"> A. Anfuso Alberghina, avocat à Caltagirone. </w:t>
      </w:r>
      <w:r w:rsidR="00EC6427" w:rsidRPr="00203A00">
        <w:rPr>
          <w:lang w:val="fr-FR"/>
        </w:rPr>
        <w:t xml:space="preserve">Le gouvernement </w:t>
      </w:r>
      <w:r w:rsidRPr="00203A00">
        <w:rPr>
          <w:lang w:val="fr-FR"/>
        </w:rPr>
        <w:t>italien</w:t>
      </w:r>
      <w:r w:rsidR="00EC6427" w:rsidRPr="00203A00">
        <w:rPr>
          <w:lang w:val="fr-FR"/>
        </w:rPr>
        <w:t xml:space="preserve"> (« le Gouvernement ») </w:t>
      </w:r>
      <w:r w:rsidR="00D603FB" w:rsidRPr="00203A00">
        <w:rPr>
          <w:lang w:val="fr-FR"/>
        </w:rPr>
        <w:t>a été</w:t>
      </w:r>
      <w:r w:rsidR="0055092B" w:rsidRPr="00203A00">
        <w:rPr>
          <w:lang w:val="fr-FR"/>
        </w:rPr>
        <w:t xml:space="preserve"> représenté par son agent</w:t>
      </w:r>
      <w:r w:rsidR="002459FE" w:rsidRPr="00203A00">
        <w:rPr>
          <w:lang w:val="fr-FR"/>
        </w:rPr>
        <w:t>, M</w:t>
      </w:r>
      <w:r w:rsidR="002459FE" w:rsidRPr="00203A00">
        <w:rPr>
          <w:vertAlign w:val="superscript"/>
          <w:lang w:val="fr-FR"/>
        </w:rPr>
        <w:t>me</w:t>
      </w:r>
      <w:r w:rsidR="002459FE" w:rsidRPr="00203A00">
        <w:rPr>
          <w:lang w:val="fr-FR"/>
        </w:rPr>
        <w:t xml:space="preserve"> E. Spatafora et par son ancien coagent</w:t>
      </w:r>
      <w:r w:rsidR="0055092B" w:rsidRPr="00203A00">
        <w:rPr>
          <w:lang w:val="fr-FR"/>
        </w:rPr>
        <w:t>,</w:t>
      </w:r>
      <w:r w:rsidR="002459FE" w:rsidRPr="00203A00">
        <w:rPr>
          <w:lang w:val="fr-FR"/>
        </w:rPr>
        <w:t xml:space="preserve"> M.</w:t>
      </w:r>
      <w:r w:rsidR="00201EAC" w:rsidRPr="00203A00">
        <w:rPr>
          <w:lang w:val="fr-FR"/>
        </w:rPr>
        <w:t> </w:t>
      </w:r>
      <w:r w:rsidR="002459FE" w:rsidRPr="00203A00">
        <w:rPr>
          <w:lang w:val="fr-FR"/>
        </w:rPr>
        <w:t>N.</w:t>
      </w:r>
      <w:r w:rsidR="00201EAC" w:rsidRPr="00203A00">
        <w:rPr>
          <w:lang w:val="fr-FR"/>
        </w:rPr>
        <w:t> </w:t>
      </w:r>
      <w:r w:rsidR="002459FE" w:rsidRPr="00203A00">
        <w:rPr>
          <w:lang w:val="fr-FR"/>
        </w:rPr>
        <w:t>Lettieri.</w:t>
      </w:r>
    </w:p>
    <w:p w:rsidR="00C27BF2" w:rsidRPr="00203A00" w:rsidRDefault="00203A00" w:rsidP="00311FB6">
      <w:pPr>
        <w:pStyle w:val="ECHRPara"/>
        <w:rPr>
          <w:szCs w:val="24"/>
          <w:lang w:val="fr-FR" w:eastAsia="en-GB"/>
        </w:rPr>
      </w:pPr>
      <w:r>
        <w:fldChar w:fldCharType="begin"/>
      </w:r>
      <w:r w:rsidRPr="00203A00">
        <w:rPr>
          <w:lang w:val="fr-FR"/>
        </w:rPr>
        <w:instrText xml:space="preserve"> SEQ level0 \*arabic </w:instrText>
      </w:r>
      <w:r>
        <w:fldChar w:fldCharType="separate"/>
      </w:r>
      <w:r w:rsidR="009E7656">
        <w:rPr>
          <w:noProof/>
          <w:lang w:val="fr-FR"/>
        </w:rPr>
        <w:t>3</w:t>
      </w:r>
      <w:r>
        <w:rPr>
          <w:noProof/>
        </w:rPr>
        <w:fldChar w:fldCharType="end"/>
      </w:r>
      <w:r w:rsidR="00FC739E" w:rsidRPr="00203A00">
        <w:rPr>
          <w:lang w:val="fr-FR"/>
        </w:rPr>
        <w:t xml:space="preserve">.  Le </w:t>
      </w:r>
      <w:r w:rsidR="00155FF1" w:rsidRPr="00203A00">
        <w:rPr>
          <w:lang w:val="fr-FR"/>
        </w:rPr>
        <w:t>22 février 2005</w:t>
      </w:r>
      <w:r w:rsidR="00FC739E" w:rsidRPr="00203A00">
        <w:rPr>
          <w:lang w:val="fr-FR"/>
        </w:rPr>
        <w:t xml:space="preserve">, </w:t>
      </w:r>
      <w:r w:rsidR="00155FF1" w:rsidRPr="00203A00">
        <w:rPr>
          <w:lang w:val="fr-FR"/>
        </w:rPr>
        <w:t>la requête a</w:t>
      </w:r>
      <w:r w:rsidR="00FC739E" w:rsidRPr="00203A00">
        <w:rPr>
          <w:lang w:val="fr-FR"/>
        </w:rPr>
        <w:t xml:space="preserve"> été </w:t>
      </w:r>
      <w:r w:rsidR="00155FF1" w:rsidRPr="00203A00">
        <w:rPr>
          <w:lang w:val="fr-FR"/>
        </w:rPr>
        <w:t>communiquée</w:t>
      </w:r>
      <w:r w:rsidR="00FC739E" w:rsidRPr="00203A00">
        <w:rPr>
          <w:lang w:val="fr-FR"/>
        </w:rPr>
        <w:t xml:space="preserve"> au Gouvernement.</w:t>
      </w:r>
    </w:p>
    <w:p w:rsidR="00EC6427" w:rsidRPr="00685582" w:rsidRDefault="00EC6427" w:rsidP="00B33C50">
      <w:pPr>
        <w:pStyle w:val="ECHRTitle1"/>
        <w:tabs>
          <w:tab w:val="left" w:pos="5387"/>
        </w:tabs>
      </w:pPr>
      <w:r w:rsidRPr="00685582">
        <w:t>EN FAIT</w:t>
      </w:r>
    </w:p>
    <w:p w:rsidR="00D31210" w:rsidRPr="00685582" w:rsidRDefault="0000732D" w:rsidP="00B33C50">
      <w:pPr>
        <w:pStyle w:val="ECHRHeading1"/>
      </w:pPr>
      <w:r w:rsidRPr="00685582">
        <w:t>I.  LES CIRCONSTANCES DE L</w:t>
      </w:r>
      <w:r w:rsidR="00203A00">
        <w:t>’</w:t>
      </w:r>
      <w:r w:rsidRPr="00685582">
        <w:t>ESPÈC</w:t>
      </w:r>
      <w:r w:rsidR="00D31210" w:rsidRPr="00685582">
        <w:t>E</w:t>
      </w:r>
    </w:p>
    <w:p w:rsidR="00155FF1" w:rsidRPr="00203A00" w:rsidRDefault="00E278CE" w:rsidP="00BB0A56">
      <w:pPr>
        <w:pStyle w:val="ECHRPara"/>
        <w:rPr>
          <w:rFonts w:eastAsia="Times New Roman"/>
          <w:lang w:val="fr-FR"/>
        </w:rPr>
      </w:pPr>
      <w:r>
        <w:rPr>
          <w:rFonts w:eastAsia="Times New Roman"/>
        </w:rPr>
        <w:fldChar w:fldCharType="begin"/>
      </w:r>
      <w:r w:rsidRPr="00203A00">
        <w:rPr>
          <w:rFonts w:eastAsia="Times New Roman"/>
          <w:lang w:val="fr-FR"/>
        </w:rPr>
        <w:instrText xml:space="preserve"> SEQ level0 \*arabic </w:instrText>
      </w:r>
      <w:r>
        <w:rPr>
          <w:rFonts w:eastAsia="Times New Roman"/>
        </w:rPr>
        <w:fldChar w:fldCharType="separate"/>
      </w:r>
      <w:r w:rsidR="009E7656">
        <w:rPr>
          <w:rFonts w:eastAsia="Times New Roman"/>
          <w:noProof/>
          <w:lang w:val="fr-FR"/>
        </w:rPr>
        <w:t>4</w:t>
      </w:r>
      <w:r>
        <w:rPr>
          <w:rFonts w:eastAsia="Times New Roman"/>
        </w:rPr>
        <w:fldChar w:fldCharType="end"/>
      </w:r>
      <w:r w:rsidRPr="00203A00">
        <w:rPr>
          <w:rFonts w:eastAsia="Times New Roman"/>
          <w:lang w:val="fr-FR"/>
        </w:rPr>
        <w:t>.  </w:t>
      </w:r>
      <w:r w:rsidR="00155FF1" w:rsidRPr="00203A00">
        <w:rPr>
          <w:rFonts w:eastAsia="Times New Roman"/>
          <w:lang w:val="fr-FR"/>
        </w:rPr>
        <w:t>Le</w:t>
      </w:r>
      <w:r w:rsidR="0055092B" w:rsidRPr="00203A00">
        <w:rPr>
          <w:rFonts w:eastAsia="Times New Roman"/>
          <w:lang w:val="fr-FR"/>
        </w:rPr>
        <w:t>s</w:t>
      </w:r>
      <w:r w:rsidR="00155FF1" w:rsidRPr="00203A00">
        <w:rPr>
          <w:rFonts w:eastAsia="Times New Roman"/>
          <w:lang w:val="fr-FR"/>
        </w:rPr>
        <w:t xml:space="preserve"> requérants étaient copropriétaires d</w:t>
      </w:r>
      <w:r w:rsidR="00203A00">
        <w:rPr>
          <w:rFonts w:eastAsia="Times New Roman"/>
          <w:lang w:val="fr-FR"/>
        </w:rPr>
        <w:t>’</w:t>
      </w:r>
      <w:r w:rsidR="00155FF1" w:rsidRPr="00203A00">
        <w:rPr>
          <w:rFonts w:eastAsia="Times New Roman"/>
          <w:lang w:val="fr-FR"/>
        </w:rPr>
        <w:t>un terrain d</w:t>
      </w:r>
      <w:r w:rsidR="00203A00">
        <w:rPr>
          <w:rFonts w:eastAsia="Times New Roman"/>
          <w:lang w:val="fr-FR"/>
        </w:rPr>
        <w:t>’</w:t>
      </w:r>
      <w:r w:rsidR="0055092B" w:rsidRPr="00203A00">
        <w:rPr>
          <w:rFonts w:eastAsia="Times New Roman"/>
          <w:lang w:val="fr-FR"/>
        </w:rPr>
        <w:t>environ 4880 </w:t>
      </w:r>
      <w:r w:rsidR="00155FF1" w:rsidRPr="00203A00">
        <w:rPr>
          <w:rFonts w:eastAsia="Times New Roman"/>
          <w:lang w:val="fr-FR"/>
        </w:rPr>
        <w:t>mètres carrés sis à Caltagirone et enregistré au cadastre feuille</w:t>
      </w:r>
      <w:r w:rsidR="00201EAC" w:rsidRPr="00203A00">
        <w:rPr>
          <w:rFonts w:eastAsia="Times New Roman"/>
          <w:lang w:val="fr-FR"/>
        </w:rPr>
        <w:t> </w:t>
      </w:r>
      <w:r w:rsidR="00155FF1" w:rsidRPr="00203A00">
        <w:rPr>
          <w:rFonts w:eastAsia="Times New Roman"/>
          <w:lang w:val="fr-FR"/>
        </w:rPr>
        <w:t>n</w:t>
      </w:r>
      <w:r w:rsidR="00155FF1" w:rsidRPr="00203A00">
        <w:rPr>
          <w:rFonts w:eastAsia="Times New Roman"/>
          <w:vertAlign w:val="superscript"/>
          <w:lang w:val="fr-FR"/>
        </w:rPr>
        <w:t>o</w:t>
      </w:r>
      <w:r w:rsidR="00201EAC" w:rsidRPr="00203A00">
        <w:rPr>
          <w:rFonts w:eastAsia="Times New Roman"/>
          <w:vertAlign w:val="superscript"/>
          <w:lang w:val="fr-FR"/>
        </w:rPr>
        <w:t> </w:t>
      </w:r>
      <w:r w:rsidR="00155FF1" w:rsidRPr="00203A00">
        <w:rPr>
          <w:rFonts w:eastAsia="Times New Roman"/>
          <w:lang w:val="fr-FR"/>
        </w:rPr>
        <w:t>139, parcelles 11 et 71.</w:t>
      </w:r>
    </w:p>
    <w:p w:rsidR="00155FF1" w:rsidRPr="00203A00" w:rsidRDefault="00155FF1" w:rsidP="00BB0A56">
      <w:pPr>
        <w:pStyle w:val="ECHRPara"/>
        <w:rPr>
          <w:rFonts w:eastAsia="Times New Roman"/>
          <w:lang w:val="fr-FR"/>
        </w:rPr>
      </w:pPr>
      <w:r>
        <w:rPr>
          <w:rFonts w:eastAsia="Times New Roman"/>
        </w:rPr>
        <w:fldChar w:fldCharType="begin"/>
      </w:r>
      <w:r w:rsidRPr="00203A00">
        <w:rPr>
          <w:rFonts w:eastAsia="Times New Roman"/>
          <w:lang w:val="fr-FR"/>
        </w:rPr>
        <w:instrText xml:space="preserve"> SEQ level0 \*arabic </w:instrText>
      </w:r>
      <w:r>
        <w:rPr>
          <w:rFonts w:eastAsia="Times New Roman"/>
        </w:rPr>
        <w:fldChar w:fldCharType="separate"/>
      </w:r>
      <w:r w:rsidR="009E7656">
        <w:rPr>
          <w:rFonts w:eastAsia="Times New Roman"/>
          <w:noProof/>
          <w:lang w:val="fr-FR"/>
        </w:rPr>
        <w:t>5</w:t>
      </w:r>
      <w:r>
        <w:rPr>
          <w:rFonts w:eastAsia="Times New Roman"/>
        </w:rPr>
        <w:fldChar w:fldCharType="end"/>
      </w:r>
      <w:r w:rsidRPr="00203A00">
        <w:rPr>
          <w:rFonts w:eastAsia="Times New Roman"/>
          <w:lang w:val="fr-FR"/>
        </w:rPr>
        <w:t>.  Par une ordonnance du 11 avril 1989</w:t>
      </w:r>
      <w:r w:rsidR="0055092B" w:rsidRPr="00203A00">
        <w:rPr>
          <w:rFonts w:eastAsia="Times New Roman"/>
          <w:lang w:val="fr-FR"/>
        </w:rPr>
        <w:t>,</w:t>
      </w:r>
      <w:r w:rsidRPr="00203A00">
        <w:rPr>
          <w:rFonts w:eastAsia="Times New Roman"/>
          <w:lang w:val="fr-FR"/>
        </w:rPr>
        <w:t xml:space="preserve"> la municipalité de Caltagirone disposa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occupation d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urgence du terrain des requérants, pour une période maximale de cinq ans, afin d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y construire une route et une école.</w:t>
      </w:r>
    </w:p>
    <w:p w:rsidR="00BD6B61" w:rsidRPr="00203A00" w:rsidRDefault="00155FF1" w:rsidP="00203A00">
      <w:pPr>
        <w:pStyle w:val="ECHRPara"/>
        <w:rPr>
          <w:rFonts w:eastAsia="Times New Roman"/>
          <w:lang w:val="fr-FR"/>
        </w:rPr>
      </w:pPr>
      <w:r>
        <w:rPr>
          <w:rFonts w:eastAsia="Times New Roman"/>
        </w:rPr>
        <w:fldChar w:fldCharType="begin"/>
      </w:r>
      <w:r w:rsidRPr="00203A00">
        <w:rPr>
          <w:rFonts w:eastAsia="Times New Roman"/>
          <w:lang w:val="fr-FR"/>
        </w:rPr>
        <w:instrText xml:space="preserve"> SEQ level0 \*arabic </w:instrText>
      </w:r>
      <w:r>
        <w:rPr>
          <w:rFonts w:eastAsia="Times New Roman"/>
        </w:rPr>
        <w:fldChar w:fldCharType="separate"/>
      </w:r>
      <w:r w:rsidR="009E7656">
        <w:rPr>
          <w:rFonts w:eastAsia="Times New Roman"/>
          <w:noProof/>
          <w:lang w:val="fr-FR"/>
        </w:rPr>
        <w:t>6</w:t>
      </w:r>
      <w:r>
        <w:rPr>
          <w:rFonts w:eastAsia="Times New Roman"/>
        </w:rPr>
        <w:fldChar w:fldCharType="end"/>
      </w:r>
      <w:r w:rsidRPr="00203A00">
        <w:rPr>
          <w:rFonts w:eastAsia="Times New Roman"/>
          <w:lang w:val="fr-FR"/>
        </w:rPr>
        <w:t>.  Le 5 juin 1989, la municipalité procéda à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occupation matérielle du terrain et entama les travaux de construction.</w:t>
      </w:r>
    </w:p>
    <w:p w:rsidR="00155FF1" w:rsidRPr="00203A00" w:rsidRDefault="00155FF1" w:rsidP="00BB0A56">
      <w:pPr>
        <w:pStyle w:val="ECHRPara"/>
        <w:rPr>
          <w:rFonts w:eastAsia="Times New Roman"/>
          <w:lang w:val="fr-FR"/>
        </w:rPr>
      </w:pPr>
      <w:r>
        <w:rPr>
          <w:rFonts w:eastAsia="Times New Roman"/>
        </w:rPr>
        <w:fldChar w:fldCharType="begin"/>
      </w:r>
      <w:r w:rsidRPr="00203A00">
        <w:rPr>
          <w:rFonts w:eastAsia="Times New Roman"/>
          <w:lang w:val="fr-FR"/>
        </w:rPr>
        <w:instrText xml:space="preserve"> SEQ level0 \*arabic </w:instrText>
      </w:r>
      <w:r>
        <w:rPr>
          <w:rFonts w:eastAsia="Times New Roman"/>
        </w:rPr>
        <w:fldChar w:fldCharType="separate"/>
      </w:r>
      <w:r w:rsidR="009E7656">
        <w:rPr>
          <w:rFonts w:eastAsia="Times New Roman"/>
          <w:noProof/>
          <w:lang w:val="fr-FR"/>
        </w:rPr>
        <w:t>7</w:t>
      </w:r>
      <w:r>
        <w:rPr>
          <w:rFonts w:eastAsia="Times New Roman"/>
        </w:rPr>
        <w:fldChar w:fldCharType="end"/>
      </w:r>
      <w:r w:rsidRPr="00203A00">
        <w:rPr>
          <w:rFonts w:eastAsia="Times New Roman"/>
          <w:lang w:val="fr-FR"/>
        </w:rPr>
        <w:t>.  Par un acte d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assignation notifié le 20 juin 1994, les requérants assignèrent la municipalité de Caltagirone devant le tribunal de Caltagirone. Ils faisaient valoir que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occupation du terrain était illégale au motif que celle-ci s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était prolongée au-delà du délai autorisé et que les travaux de construction de la route et de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école s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étaient terminés sans qu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il fût procédé à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expropriation formelle du terrain et au paiement d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une indemnité. Ils réclamaient une somme correspondant à la valeur vénale du terrain.</w:t>
      </w:r>
    </w:p>
    <w:p w:rsidR="00155FF1" w:rsidRPr="00203A00" w:rsidRDefault="00155FF1" w:rsidP="00BB0A56">
      <w:pPr>
        <w:pStyle w:val="ECHRPara"/>
        <w:rPr>
          <w:rFonts w:eastAsia="Times New Roman"/>
          <w:lang w:val="fr-FR"/>
        </w:rPr>
      </w:pPr>
      <w:r>
        <w:rPr>
          <w:rFonts w:eastAsia="Times New Roman"/>
        </w:rPr>
        <w:fldChar w:fldCharType="begin"/>
      </w:r>
      <w:r w:rsidRPr="00203A00">
        <w:rPr>
          <w:rFonts w:eastAsia="Times New Roman"/>
          <w:lang w:val="fr-FR"/>
        </w:rPr>
        <w:instrText xml:space="preserve"> SEQ level0 \*arabic </w:instrText>
      </w:r>
      <w:r>
        <w:rPr>
          <w:rFonts w:eastAsia="Times New Roman"/>
        </w:rPr>
        <w:fldChar w:fldCharType="separate"/>
      </w:r>
      <w:r w:rsidR="009E7656">
        <w:rPr>
          <w:rFonts w:eastAsia="Times New Roman"/>
          <w:noProof/>
          <w:lang w:val="fr-FR"/>
        </w:rPr>
        <w:t>8</w:t>
      </w:r>
      <w:r>
        <w:rPr>
          <w:rFonts w:eastAsia="Times New Roman"/>
        </w:rPr>
        <w:fldChar w:fldCharType="end"/>
      </w:r>
      <w:r w:rsidRPr="00203A00">
        <w:rPr>
          <w:rFonts w:eastAsia="Times New Roman"/>
          <w:lang w:val="fr-FR"/>
        </w:rPr>
        <w:t>.  Une expertise fut déposée au greffe. Selon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expert</w:t>
      </w:r>
      <w:r w:rsidR="0055092B" w:rsidRPr="00203A00">
        <w:rPr>
          <w:rFonts w:eastAsia="Times New Roman"/>
          <w:lang w:val="fr-FR"/>
        </w:rPr>
        <w:t>,</w:t>
      </w:r>
      <w:r w:rsidRPr="00203A00">
        <w:rPr>
          <w:rFonts w:eastAsia="Times New Roman"/>
          <w:lang w:val="fr-FR"/>
        </w:rPr>
        <w:t xml:space="preserve"> la valeur du terrain le 5 juin 1996 était de 190 000 ITL le mètre carré.</w:t>
      </w:r>
    </w:p>
    <w:p w:rsidR="00155FF1" w:rsidRPr="00203A00" w:rsidRDefault="00155FF1" w:rsidP="00BB0A56">
      <w:pPr>
        <w:pStyle w:val="ECHRPara"/>
        <w:rPr>
          <w:rFonts w:eastAsia="Times New Roman"/>
          <w:lang w:val="fr-FR"/>
        </w:rPr>
      </w:pPr>
      <w:r>
        <w:rPr>
          <w:rFonts w:eastAsia="Times New Roman"/>
        </w:rPr>
        <w:fldChar w:fldCharType="begin"/>
      </w:r>
      <w:r w:rsidRPr="00203A00">
        <w:rPr>
          <w:rFonts w:eastAsia="Times New Roman"/>
          <w:lang w:val="fr-FR"/>
        </w:rPr>
        <w:instrText xml:space="preserve"> SEQ level0 \*arabic </w:instrText>
      </w:r>
      <w:r>
        <w:rPr>
          <w:rFonts w:eastAsia="Times New Roman"/>
        </w:rPr>
        <w:fldChar w:fldCharType="separate"/>
      </w:r>
      <w:r w:rsidR="009E7656">
        <w:rPr>
          <w:rFonts w:eastAsia="Times New Roman"/>
          <w:noProof/>
          <w:lang w:val="fr-FR"/>
        </w:rPr>
        <w:t>9</w:t>
      </w:r>
      <w:r>
        <w:rPr>
          <w:rFonts w:eastAsia="Times New Roman"/>
        </w:rPr>
        <w:fldChar w:fldCharType="end"/>
      </w:r>
      <w:r w:rsidRPr="00203A00">
        <w:rPr>
          <w:rFonts w:eastAsia="Times New Roman"/>
          <w:lang w:val="fr-FR"/>
        </w:rPr>
        <w:t>.  Par un jugement du 26 septembre 2002, le tribunal de Caltagirone observa qu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aucune mesure d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expropriation n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avait été adoptée par la municipalité et que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 xml:space="preserve">expropriation du terrain était désormais illégitime à partir du 5 juin 1996. </w:t>
      </w:r>
      <w:r w:rsidR="00C83D59" w:rsidRPr="00203A00">
        <w:rPr>
          <w:rFonts w:eastAsia="Times New Roman"/>
          <w:lang w:val="fr-FR"/>
        </w:rPr>
        <w:t>À</w:t>
      </w:r>
      <w:r w:rsidRPr="00203A00">
        <w:rPr>
          <w:rFonts w:eastAsia="Times New Roman"/>
          <w:lang w:val="fr-FR"/>
        </w:rPr>
        <w:t xml:space="preserve"> partir de cette date</w:t>
      </w:r>
      <w:r w:rsidR="0055092B" w:rsidRPr="00203A00">
        <w:rPr>
          <w:rFonts w:eastAsia="Times New Roman"/>
          <w:lang w:val="fr-FR"/>
        </w:rPr>
        <w:t>,</w:t>
      </w:r>
      <w:r w:rsidRPr="00203A00">
        <w:rPr>
          <w:rFonts w:eastAsia="Times New Roman"/>
          <w:lang w:val="fr-FR"/>
        </w:rPr>
        <w:t xml:space="preserve"> les requérants devaient se consi</w:t>
      </w:r>
      <w:r w:rsidR="00820025" w:rsidRPr="00203A00">
        <w:rPr>
          <w:rFonts w:eastAsia="Times New Roman"/>
          <w:lang w:val="fr-FR"/>
        </w:rPr>
        <w:t>dérer comme ayant été privés d</w:t>
      </w:r>
      <w:r w:rsidR="00203A00">
        <w:rPr>
          <w:rFonts w:eastAsia="Times New Roman"/>
          <w:lang w:val="fr-FR"/>
        </w:rPr>
        <w:t>’</w:t>
      </w:r>
      <w:r w:rsidR="00820025" w:rsidRPr="00203A00">
        <w:rPr>
          <w:rFonts w:eastAsia="Times New Roman"/>
          <w:lang w:val="fr-FR"/>
        </w:rPr>
        <w:t>une portion de terrain de 2 292 mètre</w:t>
      </w:r>
      <w:r w:rsidR="0055092B" w:rsidRPr="00203A00">
        <w:rPr>
          <w:rFonts w:eastAsia="Times New Roman"/>
          <w:lang w:val="fr-FR"/>
        </w:rPr>
        <w:t>s</w:t>
      </w:r>
      <w:r w:rsidR="00820025" w:rsidRPr="00203A00">
        <w:rPr>
          <w:rFonts w:eastAsia="Times New Roman"/>
          <w:lang w:val="fr-FR"/>
        </w:rPr>
        <w:t xml:space="preserve"> carrés</w:t>
      </w:r>
      <w:r w:rsidRPr="00203A00">
        <w:rPr>
          <w:rFonts w:eastAsia="Times New Roman"/>
          <w:lang w:val="fr-FR"/>
        </w:rPr>
        <w:t>. Par conséquent, compte tenu de la loi n</w:t>
      </w:r>
      <w:r w:rsidRPr="00203A00">
        <w:rPr>
          <w:rFonts w:eastAsia="Times New Roman"/>
          <w:vertAlign w:val="superscript"/>
          <w:lang w:val="fr-FR"/>
        </w:rPr>
        <w:t>o</w:t>
      </w:r>
      <w:r w:rsidR="0055092B" w:rsidRPr="00203A00">
        <w:rPr>
          <w:rFonts w:eastAsia="Times New Roman"/>
          <w:lang w:val="fr-FR"/>
        </w:rPr>
        <w:t xml:space="preserve"> </w:t>
      </w:r>
      <w:r w:rsidRPr="00203A00">
        <w:rPr>
          <w:rFonts w:eastAsia="Times New Roman"/>
          <w:lang w:val="fr-FR"/>
        </w:rPr>
        <w:t>662 de 1996 entre-temps entrée en vigueur, le tribunal condamna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administration à payer aux requérants la somme de 123 705,76 EUR, à indexer et à assortir d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intérêts à partir de juin 1996, pour la privation de leur terrain ainsi qu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une somme à titre d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indemnité d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occupation. Le tribunal calcula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indemnité due en fonction de la loi n</w:t>
      </w:r>
      <w:r w:rsidRPr="00203A00">
        <w:rPr>
          <w:rFonts w:eastAsia="Times New Roman"/>
          <w:vertAlign w:val="superscript"/>
          <w:lang w:val="fr-FR"/>
        </w:rPr>
        <w:t>o</w:t>
      </w:r>
      <w:r w:rsidRPr="00203A00">
        <w:rPr>
          <w:rFonts w:eastAsia="Times New Roman"/>
          <w:lang w:val="fr-FR"/>
        </w:rPr>
        <w:t xml:space="preserve"> 662 de 1996, entre-temps entrée en vigueur.</w:t>
      </w:r>
    </w:p>
    <w:p w:rsidR="00155FF1" w:rsidRPr="00203A00" w:rsidRDefault="00155FF1" w:rsidP="00BB0A56">
      <w:pPr>
        <w:pStyle w:val="ECHRPara"/>
        <w:rPr>
          <w:rFonts w:eastAsia="Times New Roman"/>
          <w:lang w:val="fr-FR"/>
        </w:rPr>
      </w:pPr>
      <w:r>
        <w:rPr>
          <w:rFonts w:eastAsia="Times New Roman"/>
        </w:rPr>
        <w:fldChar w:fldCharType="begin"/>
      </w:r>
      <w:r w:rsidRPr="00203A00">
        <w:rPr>
          <w:rFonts w:eastAsia="Times New Roman"/>
          <w:lang w:val="fr-FR"/>
        </w:rPr>
        <w:instrText xml:space="preserve"> SEQ level0 \*arabic </w:instrText>
      </w:r>
      <w:r>
        <w:rPr>
          <w:rFonts w:eastAsia="Times New Roman"/>
        </w:rPr>
        <w:fldChar w:fldCharType="separate"/>
      </w:r>
      <w:r w:rsidR="009E7656">
        <w:rPr>
          <w:rFonts w:eastAsia="Times New Roman"/>
          <w:noProof/>
          <w:lang w:val="fr-FR"/>
        </w:rPr>
        <w:t>10</w:t>
      </w:r>
      <w:r>
        <w:rPr>
          <w:rFonts w:eastAsia="Times New Roman"/>
        </w:rPr>
        <w:fldChar w:fldCharType="end"/>
      </w:r>
      <w:r w:rsidRPr="00203A00">
        <w:rPr>
          <w:rFonts w:eastAsia="Times New Roman"/>
          <w:lang w:val="fr-FR"/>
        </w:rPr>
        <w:t>.  Le jugement du tribunal est devenu définitif le 19 avril 2003.</w:t>
      </w:r>
    </w:p>
    <w:p w:rsidR="0000732D" w:rsidRPr="00685582" w:rsidRDefault="0000732D" w:rsidP="00B33C50">
      <w:pPr>
        <w:pStyle w:val="ECHRHeading1"/>
      </w:pPr>
      <w:r w:rsidRPr="00685582">
        <w:t>II.  LE DROIT INTERNE PERTINENT</w:t>
      </w:r>
    </w:p>
    <w:p w:rsidR="001D1860" w:rsidRPr="00203A00" w:rsidRDefault="00203A00" w:rsidP="001D1860">
      <w:pPr>
        <w:pStyle w:val="ECHRPara"/>
        <w:rPr>
          <w:lang w:val="fr-FR"/>
        </w:rPr>
      </w:pPr>
      <w:r>
        <w:fldChar w:fldCharType="begin"/>
      </w:r>
      <w:r w:rsidRPr="00203A00">
        <w:rPr>
          <w:lang w:val="fr-FR"/>
        </w:rPr>
        <w:instrText xml:space="preserve"> SEQ level0 \*arabic </w:instrText>
      </w:r>
      <w:r>
        <w:fldChar w:fldCharType="separate"/>
      </w:r>
      <w:r w:rsidR="009E7656">
        <w:rPr>
          <w:noProof/>
          <w:lang w:val="fr-FR"/>
        </w:rPr>
        <w:t>11</w:t>
      </w:r>
      <w:r>
        <w:rPr>
          <w:noProof/>
        </w:rPr>
        <w:fldChar w:fldCharType="end"/>
      </w:r>
      <w:r w:rsidR="00820025" w:rsidRPr="00203A00">
        <w:rPr>
          <w:lang w:val="fr-FR"/>
        </w:rPr>
        <w:t>.  </w:t>
      </w:r>
      <w:r w:rsidR="001D1860" w:rsidRPr="00203A00">
        <w:rPr>
          <w:lang w:val="fr-FR"/>
        </w:rPr>
        <w:t>Le droit interne pertinent relatif à l</w:t>
      </w:r>
      <w:r>
        <w:rPr>
          <w:lang w:val="fr-FR"/>
        </w:rPr>
        <w:t>’</w:t>
      </w:r>
      <w:r w:rsidR="001D1860" w:rsidRPr="00203A00">
        <w:rPr>
          <w:lang w:val="fr-FR"/>
        </w:rPr>
        <w:t>expropriation indirecte se trouve décrit dans l</w:t>
      </w:r>
      <w:r>
        <w:rPr>
          <w:lang w:val="fr-FR"/>
        </w:rPr>
        <w:t>’</w:t>
      </w:r>
      <w:r w:rsidR="001D1860" w:rsidRPr="00203A00">
        <w:rPr>
          <w:lang w:val="fr-FR"/>
        </w:rPr>
        <w:t xml:space="preserve">arrêt </w:t>
      </w:r>
      <w:r w:rsidR="001D1860" w:rsidRPr="00203A00">
        <w:rPr>
          <w:i/>
          <w:iCs/>
          <w:lang w:val="fr-FR"/>
        </w:rPr>
        <w:t>Guiso</w:t>
      </w:r>
      <w:r w:rsidR="001D1860" w:rsidRPr="00203A00">
        <w:rPr>
          <w:i/>
          <w:iCs/>
          <w:lang w:val="fr-FR"/>
        </w:rPr>
        <w:noBreakHyphen/>
        <w:t>Gallisay c. Italie</w:t>
      </w:r>
      <w:r w:rsidR="001D1860" w:rsidRPr="00203A00">
        <w:rPr>
          <w:lang w:val="fr-FR"/>
        </w:rPr>
        <w:t xml:space="preserve"> (satisfaction équitable) [GC], n</w:t>
      </w:r>
      <w:r w:rsidR="0055092B" w:rsidRPr="00203A00">
        <w:rPr>
          <w:vertAlign w:val="superscript"/>
          <w:lang w:val="fr-FR"/>
        </w:rPr>
        <w:t>o</w:t>
      </w:r>
      <w:r w:rsidR="001D1860" w:rsidRPr="00203A00">
        <w:rPr>
          <w:lang w:val="fr-FR"/>
        </w:rPr>
        <w:t> 58858/00, 22 décembre 2009.</w:t>
      </w:r>
    </w:p>
    <w:p w:rsidR="00EC6427" w:rsidRPr="00685582" w:rsidRDefault="00EC6427" w:rsidP="00B33C50">
      <w:pPr>
        <w:pStyle w:val="ECHRTitle1"/>
      </w:pPr>
      <w:r w:rsidRPr="00685582">
        <w:t>EN DROIT</w:t>
      </w:r>
    </w:p>
    <w:p w:rsidR="008E08C7" w:rsidRPr="008E08C7" w:rsidRDefault="008E08C7" w:rsidP="008E08C7">
      <w:pPr>
        <w:pStyle w:val="ECHRHeading1"/>
        <w:rPr>
          <w:rFonts w:ascii="Times New Roman" w:eastAsia="Times New Roman" w:hAnsi="Times New Roman" w:cs="Times New Roman"/>
          <w:szCs w:val="20"/>
        </w:rPr>
      </w:pPr>
      <w:r w:rsidRPr="008E08C7">
        <w:rPr>
          <w:rFonts w:ascii="Times New Roman" w:eastAsia="Times New Roman" w:hAnsi="Times New Roman" w:cs="Times New Roman"/>
          <w:szCs w:val="20"/>
        </w:rPr>
        <w:t>I.  SUR LA VIOLATION ALLÉGUÉE DE L</w:t>
      </w:r>
      <w:r w:rsidR="00203A00">
        <w:rPr>
          <w:rFonts w:ascii="Times New Roman" w:eastAsia="Times New Roman" w:hAnsi="Times New Roman" w:cs="Times New Roman"/>
          <w:szCs w:val="20"/>
        </w:rPr>
        <w:t>’</w:t>
      </w:r>
      <w:r w:rsidRPr="008E08C7">
        <w:rPr>
          <w:rFonts w:ascii="Times New Roman" w:eastAsia="Times New Roman" w:hAnsi="Times New Roman" w:cs="Times New Roman"/>
          <w:szCs w:val="20"/>
        </w:rPr>
        <w:t>ARTICLE 1 DU PROTOCOLE N</w:t>
      </w:r>
      <w:r w:rsidRPr="008E08C7">
        <w:rPr>
          <w:rFonts w:ascii="Times New Roman" w:eastAsia="Times New Roman" w:hAnsi="Times New Roman" w:cs="Times New Roman"/>
          <w:szCs w:val="20"/>
          <w:vertAlign w:val="superscript"/>
        </w:rPr>
        <w:t xml:space="preserve">o </w:t>
      </w:r>
      <w:r w:rsidRPr="008E08C7">
        <w:rPr>
          <w:rFonts w:ascii="Times New Roman" w:eastAsia="Times New Roman" w:hAnsi="Times New Roman" w:cs="Times New Roman"/>
          <w:szCs w:val="20"/>
        </w:rPr>
        <w:t>1 A LA CONVENTION</w:t>
      </w:r>
    </w:p>
    <w:p w:rsidR="002927CA" w:rsidRPr="00203A00" w:rsidRDefault="005526D1" w:rsidP="00BB0A56">
      <w:pPr>
        <w:pStyle w:val="ECHRPara"/>
        <w:rPr>
          <w:rFonts w:eastAsia="Times New Roman"/>
          <w:lang w:val="fr-FR"/>
        </w:rPr>
      </w:pPr>
      <w:r>
        <w:rPr>
          <w:rFonts w:eastAsia="Times New Roman"/>
        </w:rPr>
        <w:fldChar w:fldCharType="begin"/>
      </w:r>
      <w:r w:rsidRPr="00203A00">
        <w:rPr>
          <w:rFonts w:eastAsia="Times New Roman"/>
          <w:lang w:val="fr-FR"/>
        </w:rPr>
        <w:instrText xml:space="preserve"> SEQ level0 \*arabic </w:instrText>
      </w:r>
      <w:r>
        <w:rPr>
          <w:rFonts w:eastAsia="Times New Roman"/>
        </w:rPr>
        <w:fldChar w:fldCharType="separate"/>
      </w:r>
      <w:r w:rsidR="009E7656">
        <w:rPr>
          <w:rFonts w:eastAsia="Times New Roman"/>
          <w:noProof/>
          <w:lang w:val="fr-FR"/>
        </w:rPr>
        <w:t>12</w:t>
      </w:r>
      <w:r>
        <w:rPr>
          <w:rFonts w:eastAsia="Times New Roman"/>
        </w:rPr>
        <w:fldChar w:fldCharType="end"/>
      </w:r>
      <w:r w:rsidRPr="00203A00">
        <w:rPr>
          <w:rFonts w:eastAsia="Times New Roman"/>
          <w:lang w:val="fr-FR"/>
        </w:rPr>
        <w:t>.  </w:t>
      </w:r>
      <w:r w:rsidR="002927CA" w:rsidRPr="00203A00">
        <w:rPr>
          <w:rFonts w:eastAsia="Times New Roman"/>
          <w:lang w:val="fr-FR"/>
        </w:rPr>
        <w:t xml:space="preserve">Les requérants allèguent avoir été privés de leur bien de manière </w:t>
      </w:r>
      <w:r w:rsidR="0055092B" w:rsidRPr="00203A00">
        <w:rPr>
          <w:rFonts w:eastAsia="Times New Roman"/>
          <w:lang w:val="fr-FR"/>
        </w:rPr>
        <w:t>incompatible avec l</w:t>
      </w:r>
      <w:r w:rsidR="00203A00">
        <w:rPr>
          <w:rFonts w:eastAsia="Times New Roman"/>
          <w:lang w:val="fr-FR"/>
        </w:rPr>
        <w:t>’</w:t>
      </w:r>
      <w:r w:rsidR="0055092B" w:rsidRPr="00203A00">
        <w:rPr>
          <w:rFonts w:eastAsia="Times New Roman"/>
          <w:lang w:val="fr-FR"/>
        </w:rPr>
        <w:t>article n</w:t>
      </w:r>
      <w:r w:rsidR="0055092B" w:rsidRPr="00203A00">
        <w:rPr>
          <w:rFonts w:eastAsia="Times New Roman"/>
          <w:vertAlign w:val="superscript"/>
          <w:lang w:val="fr-FR"/>
        </w:rPr>
        <w:t>o</w:t>
      </w:r>
      <w:r w:rsidR="0055092B" w:rsidRPr="00203A00">
        <w:rPr>
          <w:rFonts w:eastAsia="Times New Roman"/>
          <w:lang w:val="fr-FR"/>
        </w:rPr>
        <w:t xml:space="preserve"> </w:t>
      </w:r>
      <w:r w:rsidR="002927CA" w:rsidRPr="00203A00">
        <w:rPr>
          <w:rFonts w:eastAsia="Times New Roman"/>
          <w:lang w:val="fr-FR"/>
        </w:rPr>
        <w:t>1 du Protocole n</w:t>
      </w:r>
      <w:r w:rsidR="0055092B" w:rsidRPr="00203A00">
        <w:rPr>
          <w:rFonts w:eastAsia="Times New Roman"/>
          <w:vertAlign w:val="superscript"/>
          <w:lang w:val="fr-FR"/>
        </w:rPr>
        <w:t>o</w:t>
      </w:r>
      <w:r w:rsidR="0055092B" w:rsidRPr="00203A00">
        <w:rPr>
          <w:rFonts w:eastAsia="Times New Roman"/>
          <w:lang w:val="fr-FR"/>
        </w:rPr>
        <w:t xml:space="preserve"> </w:t>
      </w:r>
      <w:r w:rsidR="002927CA" w:rsidRPr="00203A00">
        <w:rPr>
          <w:rFonts w:eastAsia="Times New Roman"/>
          <w:lang w:val="fr-FR"/>
        </w:rPr>
        <w:t>1 de la Convention, ainsi libellé :</w:t>
      </w:r>
    </w:p>
    <w:p w:rsidR="00BD6B61" w:rsidRPr="002927CA" w:rsidRDefault="002927CA" w:rsidP="00203A00">
      <w:pPr>
        <w:pStyle w:val="ECHRParaQuote"/>
        <w:rPr>
          <w:rFonts w:eastAsia="Times New Roman"/>
        </w:rPr>
      </w:pPr>
      <w:r w:rsidRPr="002927CA">
        <w:rPr>
          <w:rFonts w:eastAsia="Times New Roman"/>
        </w:rPr>
        <w:t>« Toute personne physique ou morale a droit au respect de ses biens. Nul ne peut être privé de sa propriété que pour cause d</w:t>
      </w:r>
      <w:r w:rsidR="00203A00">
        <w:rPr>
          <w:rFonts w:eastAsia="Times New Roman"/>
        </w:rPr>
        <w:t>’</w:t>
      </w:r>
      <w:r w:rsidRPr="002927CA">
        <w:rPr>
          <w:rFonts w:eastAsia="Times New Roman"/>
        </w:rPr>
        <w:t>utilité publique et dans les conditions prévues par la loi et les principes généraux du droit international.</w:t>
      </w:r>
    </w:p>
    <w:p w:rsidR="002927CA" w:rsidRPr="002927CA" w:rsidRDefault="002927CA" w:rsidP="00203A00">
      <w:pPr>
        <w:pStyle w:val="ECHRParaQuote"/>
        <w:rPr>
          <w:rFonts w:ascii="Times New Roman" w:eastAsia="Times New Roman" w:hAnsi="Times New Roman" w:cs="Times New Roman"/>
          <w:szCs w:val="20"/>
        </w:rPr>
      </w:pPr>
      <w:r w:rsidRPr="002927CA">
        <w:rPr>
          <w:rFonts w:ascii="Times New Roman" w:eastAsia="Times New Roman" w:hAnsi="Times New Roman" w:cs="Times New Roman"/>
          <w:szCs w:val="20"/>
        </w:rPr>
        <w:t>Les dispositions précédentes ne portent pas atteinte au droit que possèdent les États de mettre en vigueur les lois qu</w:t>
      </w:r>
      <w:r w:rsidR="00203A00">
        <w:rPr>
          <w:rFonts w:ascii="Times New Roman" w:eastAsia="Times New Roman" w:hAnsi="Times New Roman" w:cs="Times New Roman"/>
          <w:szCs w:val="20"/>
        </w:rPr>
        <w:t>’</w:t>
      </w:r>
      <w:r w:rsidRPr="002927CA">
        <w:rPr>
          <w:rFonts w:ascii="Times New Roman" w:eastAsia="Times New Roman" w:hAnsi="Times New Roman" w:cs="Times New Roman"/>
          <w:szCs w:val="20"/>
        </w:rPr>
        <w:t>ils jugent nécessaires pour réglementer l</w:t>
      </w:r>
      <w:r w:rsidR="00203A00">
        <w:rPr>
          <w:rFonts w:ascii="Times New Roman" w:eastAsia="Times New Roman" w:hAnsi="Times New Roman" w:cs="Times New Roman"/>
          <w:szCs w:val="20"/>
        </w:rPr>
        <w:t>’</w:t>
      </w:r>
      <w:r w:rsidRPr="002927CA">
        <w:rPr>
          <w:rFonts w:ascii="Times New Roman" w:eastAsia="Times New Roman" w:hAnsi="Times New Roman" w:cs="Times New Roman"/>
          <w:szCs w:val="20"/>
        </w:rPr>
        <w:t>usage des biens conformément à l</w:t>
      </w:r>
      <w:r w:rsidR="00203A00">
        <w:rPr>
          <w:rFonts w:ascii="Times New Roman" w:eastAsia="Times New Roman" w:hAnsi="Times New Roman" w:cs="Times New Roman"/>
          <w:szCs w:val="20"/>
        </w:rPr>
        <w:t>’</w:t>
      </w:r>
      <w:r w:rsidRPr="002927CA">
        <w:rPr>
          <w:rFonts w:ascii="Times New Roman" w:eastAsia="Times New Roman" w:hAnsi="Times New Roman" w:cs="Times New Roman"/>
          <w:szCs w:val="20"/>
        </w:rPr>
        <w:t>intérêt général ou pour assurer le paiement des impôts ou d</w:t>
      </w:r>
      <w:r w:rsidR="00203A00">
        <w:rPr>
          <w:rFonts w:ascii="Times New Roman" w:eastAsia="Times New Roman" w:hAnsi="Times New Roman" w:cs="Times New Roman"/>
          <w:szCs w:val="20"/>
        </w:rPr>
        <w:t>’</w:t>
      </w:r>
      <w:r w:rsidRPr="002927CA">
        <w:rPr>
          <w:rFonts w:ascii="Times New Roman" w:eastAsia="Times New Roman" w:hAnsi="Times New Roman" w:cs="Times New Roman"/>
          <w:szCs w:val="20"/>
        </w:rPr>
        <w:t>autres contributions ou des amendes. »</w:t>
      </w:r>
    </w:p>
    <w:p w:rsidR="002927CA" w:rsidRPr="00203A00" w:rsidRDefault="002927CA" w:rsidP="00BB0A56">
      <w:pPr>
        <w:pStyle w:val="ECHRPara"/>
        <w:rPr>
          <w:rFonts w:eastAsia="Times New Roman"/>
          <w:lang w:val="fr-FR"/>
        </w:rPr>
      </w:pPr>
      <w:r w:rsidRPr="002927CA">
        <w:rPr>
          <w:rFonts w:eastAsia="Times New Roman"/>
        </w:rPr>
        <w:fldChar w:fldCharType="begin"/>
      </w:r>
      <w:r w:rsidRPr="00203A00">
        <w:rPr>
          <w:rFonts w:eastAsia="Times New Roman"/>
          <w:lang w:val="fr-FR"/>
        </w:rPr>
        <w:instrText xml:space="preserve"> SEQ level0 \*arabic </w:instrText>
      </w:r>
      <w:r w:rsidRPr="002927CA">
        <w:rPr>
          <w:rFonts w:eastAsia="Times New Roman"/>
        </w:rPr>
        <w:fldChar w:fldCharType="separate"/>
      </w:r>
      <w:r w:rsidR="009E7656">
        <w:rPr>
          <w:rFonts w:eastAsia="Times New Roman"/>
          <w:noProof/>
          <w:lang w:val="fr-FR"/>
        </w:rPr>
        <w:t>13</w:t>
      </w:r>
      <w:r w:rsidRPr="002927CA">
        <w:rPr>
          <w:rFonts w:eastAsia="Times New Roman"/>
        </w:rPr>
        <w:fldChar w:fldCharType="end"/>
      </w:r>
      <w:r w:rsidRPr="00203A00">
        <w:rPr>
          <w:rFonts w:eastAsia="Times New Roman"/>
          <w:lang w:val="fr-FR"/>
        </w:rPr>
        <w:t>.  Le Gouvernement s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oppose à cette thèse.</w:t>
      </w:r>
    </w:p>
    <w:p w:rsidR="00EC6427" w:rsidRPr="00685582" w:rsidRDefault="00EC6427" w:rsidP="00B33C50">
      <w:pPr>
        <w:pStyle w:val="ECHRHeading2"/>
        <w:outlineLvl w:val="0"/>
      </w:pPr>
      <w:r w:rsidRPr="00685582">
        <w:t>A.  Sur la recevabilité</w:t>
      </w:r>
    </w:p>
    <w:p w:rsidR="005F3FA1" w:rsidRPr="00203A00" w:rsidRDefault="00203A00" w:rsidP="005F3FA1">
      <w:pPr>
        <w:pStyle w:val="ECHRPara"/>
        <w:rPr>
          <w:lang w:val="fr-FR"/>
        </w:rPr>
      </w:pPr>
      <w:r>
        <w:fldChar w:fldCharType="begin"/>
      </w:r>
      <w:r w:rsidRPr="00203A00">
        <w:rPr>
          <w:lang w:val="fr-FR"/>
        </w:rPr>
        <w:instrText xml:space="preserve"> SEQ level0 \*arabic </w:instrText>
      </w:r>
      <w:r>
        <w:fldChar w:fldCharType="separate"/>
      </w:r>
      <w:r w:rsidR="009E7656">
        <w:rPr>
          <w:noProof/>
          <w:lang w:val="fr-FR"/>
        </w:rPr>
        <w:t>14</w:t>
      </w:r>
      <w:r>
        <w:rPr>
          <w:noProof/>
        </w:rPr>
        <w:fldChar w:fldCharType="end"/>
      </w:r>
      <w:r w:rsidR="005F3FA1" w:rsidRPr="00203A00">
        <w:rPr>
          <w:lang w:val="fr-FR"/>
        </w:rPr>
        <w:t>.  Le Gouvernement soulève une exception de non-épuisement des voies de recou</w:t>
      </w:r>
      <w:r w:rsidR="0055092B" w:rsidRPr="00203A00">
        <w:rPr>
          <w:lang w:val="fr-FR"/>
        </w:rPr>
        <w:t>rs internes, faisant valoir que</w:t>
      </w:r>
      <w:r w:rsidR="005F3FA1" w:rsidRPr="00203A00">
        <w:rPr>
          <w:lang w:val="fr-FR"/>
        </w:rPr>
        <w:t xml:space="preserve"> les requérants n</w:t>
      </w:r>
      <w:r>
        <w:rPr>
          <w:lang w:val="fr-FR"/>
        </w:rPr>
        <w:t>’</w:t>
      </w:r>
      <w:r w:rsidR="005F3FA1" w:rsidRPr="00203A00">
        <w:rPr>
          <w:lang w:val="fr-FR"/>
        </w:rPr>
        <w:t>ont pas interjeté appel du jugement du tribunal de Caltagirone.</w:t>
      </w:r>
    </w:p>
    <w:p w:rsidR="005F3FA1" w:rsidRPr="00203A00" w:rsidRDefault="00203A00" w:rsidP="005F3FA1">
      <w:pPr>
        <w:pStyle w:val="ECHRPara"/>
        <w:rPr>
          <w:lang w:val="fr-FR"/>
        </w:rPr>
      </w:pPr>
      <w:r>
        <w:fldChar w:fldCharType="begin"/>
      </w:r>
      <w:r w:rsidRPr="00203A00">
        <w:rPr>
          <w:lang w:val="fr-FR"/>
        </w:rPr>
        <w:instrText xml:space="preserve"> SEQ level0 \*arabic </w:instrText>
      </w:r>
      <w:r>
        <w:fldChar w:fldCharType="separate"/>
      </w:r>
      <w:r w:rsidR="009E7656">
        <w:rPr>
          <w:noProof/>
          <w:lang w:val="fr-FR"/>
        </w:rPr>
        <w:t>15</w:t>
      </w:r>
      <w:r>
        <w:rPr>
          <w:noProof/>
        </w:rPr>
        <w:fldChar w:fldCharType="end"/>
      </w:r>
      <w:r w:rsidR="005F3FA1" w:rsidRPr="00203A00">
        <w:rPr>
          <w:lang w:val="fr-FR"/>
        </w:rPr>
        <w:t>.  Les requérants s</w:t>
      </w:r>
      <w:r>
        <w:rPr>
          <w:lang w:val="fr-FR"/>
        </w:rPr>
        <w:t>’</w:t>
      </w:r>
      <w:r w:rsidR="005F3FA1" w:rsidRPr="00203A00">
        <w:rPr>
          <w:lang w:val="fr-FR"/>
        </w:rPr>
        <w:t>opposent à l</w:t>
      </w:r>
      <w:r>
        <w:rPr>
          <w:lang w:val="fr-FR"/>
        </w:rPr>
        <w:t>’</w:t>
      </w:r>
      <w:r w:rsidR="005F3FA1" w:rsidRPr="00203A00">
        <w:rPr>
          <w:lang w:val="fr-FR"/>
        </w:rPr>
        <w:t>exception du Gouvernement.</w:t>
      </w:r>
    </w:p>
    <w:p w:rsidR="005F3FA1" w:rsidRPr="00203A00" w:rsidRDefault="00203A00" w:rsidP="005F3FA1">
      <w:pPr>
        <w:pStyle w:val="ECHRPara"/>
        <w:rPr>
          <w:lang w:val="fr-FR"/>
        </w:rPr>
      </w:pPr>
      <w:r>
        <w:fldChar w:fldCharType="begin"/>
      </w:r>
      <w:r w:rsidRPr="00203A00">
        <w:rPr>
          <w:lang w:val="fr-FR"/>
        </w:rPr>
        <w:instrText xml:space="preserve"> SEQ level0 \*arabic </w:instrText>
      </w:r>
      <w:r>
        <w:fldChar w:fldCharType="separate"/>
      </w:r>
      <w:r w:rsidR="009E7656">
        <w:rPr>
          <w:noProof/>
          <w:lang w:val="fr-FR"/>
        </w:rPr>
        <w:t>16</w:t>
      </w:r>
      <w:r>
        <w:rPr>
          <w:noProof/>
        </w:rPr>
        <w:fldChar w:fldCharType="end"/>
      </w:r>
      <w:r w:rsidR="005F3FA1" w:rsidRPr="00203A00">
        <w:rPr>
          <w:lang w:val="fr-FR"/>
        </w:rPr>
        <w:t>.  La Cour rappelle qu</w:t>
      </w:r>
      <w:r>
        <w:rPr>
          <w:lang w:val="fr-FR"/>
        </w:rPr>
        <w:t>’</w:t>
      </w:r>
      <w:r w:rsidR="005F3FA1" w:rsidRPr="00203A00">
        <w:rPr>
          <w:lang w:val="fr-FR"/>
        </w:rPr>
        <w:t xml:space="preserve">elle a rejeté des exceptions semblables dans les affaires </w:t>
      </w:r>
      <w:r w:rsidR="005F3FA1" w:rsidRPr="00203A00">
        <w:rPr>
          <w:i/>
          <w:iCs/>
          <w:lang w:val="fr-FR"/>
        </w:rPr>
        <w:t>Colacrai c. Italie (n</w:t>
      </w:r>
      <w:r w:rsidR="005F3FA1" w:rsidRPr="00203A00">
        <w:rPr>
          <w:i/>
          <w:iCs/>
          <w:vertAlign w:val="superscript"/>
          <w:lang w:val="fr-FR"/>
        </w:rPr>
        <w:t>o</w:t>
      </w:r>
      <w:r w:rsidR="005F3FA1" w:rsidRPr="00203A00">
        <w:rPr>
          <w:i/>
          <w:iCs/>
          <w:lang w:val="fr-FR"/>
        </w:rPr>
        <w:t xml:space="preserve"> 2)</w:t>
      </w:r>
      <w:r w:rsidR="005F3FA1" w:rsidRPr="00203A00">
        <w:rPr>
          <w:lang w:val="fr-FR"/>
        </w:rPr>
        <w:t xml:space="preserve"> (n</w:t>
      </w:r>
      <w:r w:rsidR="005F3FA1" w:rsidRPr="00203A00">
        <w:rPr>
          <w:vertAlign w:val="superscript"/>
          <w:lang w:val="fr-FR"/>
        </w:rPr>
        <w:t>o</w:t>
      </w:r>
      <w:r w:rsidR="005F3FA1" w:rsidRPr="00203A00">
        <w:rPr>
          <w:lang w:val="fr-FR"/>
        </w:rPr>
        <w:t xml:space="preserve"> 63868/00, 15</w:t>
      </w:r>
      <w:r w:rsidR="00201EAC" w:rsidRPr="00203A00">
        <w:rPr>
          <w:lang w:val="fr-FR"/>
        </w:rPr>
        <w:t> </w:t>
      </w:r>
      <w:r w:rsidR="005F3FA1" w:rsidRPr="00203A00">
        <w:rPr>
          <w:lang w:val="fr-FR"/>
        </w:rPr>
        <w:t>juillet</w:t>
      </w:r>
      <w:r w:rsidR="00201EAC" w:rsidRPr="00203A00">
        <w:rPr>
          <w:lang w:val="fr-FR"/>
        </w:rPr>
        <w:t> </w:t>
      </w:r>
      <w:r w:rsidR="005F3FA1" w:rsidRPr="00203A00">
        <w:rPr>
          <w:lang w:val="fr-FR"/>
        </w:rPr>
        <w:t xml:space="preserve">2005), </w:t>
      </w:r>
      <w:r w:rsidR="005F3FA1" w:rsidRPr="00203A00">
        <w:rPr>
          <w:i/>
          <w:iCs/>
          <w:lang w:val="fr-FR"/>
        </w:rPr>
        <w:t>Colacrai c. Italie (n</w:t>
      </w:r>
      <w:r w:rsidR="005F3FA1" w:rsidRPr="00203A00">
        <w:rPr>
          <w:i/>
          <w:iCs/>
          <w:vertAlign w:val="superscript"/>
          <w:lang w:val="fr-FR"/>
        </w:rPr>
        <w:t>o</w:t>
      </w:r>
      <w:r w:rsidR="005F3FA1" w:rsidRPr="00203A00">
        <w:rPr>
          <w:i/>
          <w:iCs/>
          <w:lang w:val="fr-FR"/>
        </w:rPr>
        <w:t xml:space="preserve"> 1)</w:t>
      </w:r>
      <w:r w:rsidR="005F3FA1" w:rsidRPr="00203A00">
        <w:rPr>
          <w:lang w:val="fr-FR"/>
        </w:rPr>
        <w:t xml:space="preserve"> (n</w:t>
      </w:r>
      <w:r w:rsidR="005F3FA1" w:rsidRPr="00203A00">
        <w:rPr>
          <w:vertAlign w:val="superscript"/>
          <w:lang w:val="fr-FR"/>
        </w:rPr>
        <w:t>o</w:t>
      </w:r>
      <w:r w:rsidR="005F3FA1" w:rsidRPr="00203A00">
        <w:rPr>
          <w:lang w:val="fr-FR"/>
        </w:rPr>
        <w:t xml:space="preserve"> 63296/00, 13 octobre 2005), </w:t>
      </w:r>
      <w:r w:rsidR="005F3FA1" w:rsidRPr="00203A00">
        <w:rPr>
          <w:i/>
          <w:iCs/>
          <w:lang w:val="fr-FR"/>
        </w:rPr>
        <w:t>Colazzo c.</w:t>
      </w:r>
      <w:r w:rsidR="00201EAC" w:rsidRPr="00203A00">
        <w:rPr>
          <w:i/>
          <w:iCs/>
          <w:lang w:val="fr-FR"/>
        </w:rPr>
        <w:t> </w:t>
      </w:r>
      <w:r w:rsidR="005F3FA1" w:rsidRPr="00203A00">
        <w:rPr>
          <w:i/>
          <w:iCs/>
          <w:lang w:val="fr-FR"/>
        </w:rPr>
        <w:t>Italie</w:t>
      </w:r>
      <w:r w:rsidR="005F3FA1" w:rsidRPr="00203A00">
        <w:rPr>
          <w:lang w:val="fr-FR"/>
        </w:rPr>
        <w:t xml:space="preserve"> (n</w:t>
      </w:r>
      <w:r w:rsidR="005F3FA1" w:rsidRPr="00203A00">
        <w:rPr>
          <w:vertAlign w:val="superscript"/>
          <w:lang w:val="fr-FR"/>
        </w:rPr>
        <w:t>o</w:t>
      </w:r>
      <w:r w:rsidR="005F3FA1" w:rsidRPr="00203A00">
        <w:rPr>
          <w:lang w:val="fr-FR"/>
        </w:rPr>
        <w:t xml:space="preserve"> 63633/00, 13 octobre 2005), </w:t>
      </w:r>
      <w:r w:rsidR="005F3FA1" w:rsidRPr="00203A00">
        <w:rPr>
          <w:i/>
          <w:iCs/>
          <w:lang w:val="fr-FR"/>
        </w:rPr>
        <w:t>Serrilli c. Italie</w:t>
      </w:r>
      <w:r w:rsidR="005F3FA1" w:rsidRPr="00203A00">
        <w:rPr>
          <w:lang w:val="fr-FR"/>
        </w:rPr>
        <w:t xml:space="preserve"> (n</w:t>
      </w:r>
      <w:r w:rsidR="005F3FA1" w:rsidRPr="00203A00">
        <w:rPr>
          <w:vertAlign w:val="superscript"/>
          <w:lang w:val="fr-FR"/>
        </w:rPr>
        <w:t>os</w:t>
      </w:r>
      <w:r w:rsidR="005F3FA1" w:rsidRPr="00203A00">
        <w:rPr>
          <w:lang w:val="fr-FR"/>
        </w:rPr>
        <w:t xml:space="preserve"> 77823/01, 77827/01 et 77829/01, 17 novembre 2005), </w:t>
      </w:r>
      <w:r w:rsidR="005F3FA1" w:rsidRPr="00203A00">
        <w:rPr>
          <w:i/>
          <w:iCs/>
          <w:lang w:val="fr-FR"/>
        </w:rPr>
        <w:t>Serrilli c. Italie</w:t>
      </w:r>
      <w:r w:rsidR="005F3FA1" w:rsidRPr="00203A00">
        <w:rPr>
          <w:lang w:val="fr-FR"/>
        </w:rPr>
        <w:t xml:space="preserve"> (n</w:t>
      </w:r>
      <w:r w:rsidR="005F3FA1" w:rsidRPr="00203A00">
        <w:rPr>
          <w:vertAlign w:val="superscript"/>
          <w:lang w:val="fr-FR"/>
        </w:rPr>
        <w:t>o</w:t>
      </w:r>
      <w:r w:rsidR="00201EAC" w:rsidRPr="00203A00">
        <w:rPr>
          <w:vertAlign w:val="superscript"/>
          <w:lang w:val="fr-FR"/>
        </w:rPr>
        <w:t> </w:t>
      </w:r>
      <w:r w:rsidR="005F3FA1" w:rsidRPr="00203A00">
        <w:rPr>
          <w:lang w:val="fr-FR"/>
        </w:rPr>
        <w:t>77822/01, 6</w:t>
      </w:r>
      <w:r w:rsidR="00201EAC" w:rsidRPr="00203A00">
        <w:rPr>
          <w:lang w:val="fr-FR"/>
        </w:rPr>
        <w:t> </w:t>
      </w:r>
      <w:r w:rsidR="005F3FA1" w:rsidRPr="00203A00">
        <w:rPr>
          <w:lang w:val="fr-FR"/>
        </w:rPr>
        <w:t>décembre</w:t>
      </w:r>
      <w:r w:rsidR="00201EAC" w:rsidRPr="00203A00">
        <w:rPr>
          <w:lang w:val="fr-FR"/>
        </w:rPr>
        <w:t> </w:t>
      </w:r>
      <w:r w:rsidR="005F3FA1" w:rsidRPr="00203A00">
        <w:rPr>
          <w:lang w:val="fr-FR"/>
        </w:rPr>
        <w:t xml:space="preserve">2005), </w:t>
      </w:r>
      <w:r w:rsidR="005F3FA1" w:rsidRPr="00203A00">
        <w:rPr>
          <w:i/>
          <w:iCs/>
          <w:lang w:val="fr-FR"/>
        </w:rPr>
        <w:t>Giacobbe et autres c. Italie</w:t>
      </w:r>
      <w:r w:rsidR="005F3FA1" w:rsidRPr="00203A00">
        <w:rPr>
          <w:lang w:val="fr-FR"/>
        </w:rPr>
        <w:t xml:space="preserve"> (n</w:t>
      </w:r>
      <w:r w:rsidR="005F3FA1" w:rsidRPr="00203A00">
        <w:rPr>
          <w:vertAlign w:val="superscript"/>
          <w:lang w:val="fr-FR"/>
        </w:rPr>
        <w:t>o</w:t>
      </w:r>
      <w:r w:rsidR="005F3FA1" w:rsidRPr="00203A00">
        <w:rPr>
          <w:lang w:val="fr-FR"/>
        </w:rPr>
        <w:t xml:space="preserve"> 16041/02, 15</w:t>
      </w:r>
      <w:r w:rsidR="00201EAC" w:rsidRPr="00203A00">
        <w:rPr>
          <w:lang w:val="fr-FR"/>
        </w:rPr>
        <w:t> </w:t>
      </w:r>
      <w:r w:rsidR="005F3FA1" w:rsidRPr="00203A00">
        <w:rPr>
          <w:lang w:val="fr-FR"/>
        </w:rPr>
        <w:t>décembre</w:t>
      </w:r>
      <w:r w:rsidR="00201EAC" w:rsidRPr="00203A00">
        <w:rPr>
          <w:lang w:val="fr-FR"/>
        </w:rPr>
        <w:t> </w:t>
      </w:r>
      <w:r w:rsidR="005F3FA1" w:rsidRPr="00203A00">
        <w:rPr>
          <w:lang w:val="fr-FR"/>
        </w:rPr>
        <w:t xml:space="preserve">2005), </w:t>
      </w:r>
      <w:r w:rsidR="005F3FA1" w:rsidRPr="00203A00">
        <w:rPr>
          <w:i/>
          <w:iCs/>
          <w:lang w:val="fr-FR"/>
        </w:rPr>
        <w:t>Sciarrotta c. Italie</w:t>
      </w:r>
      <w:r w:rsidR="005F3FA1" w:rsidRPr="00203A00">
        <w:rPr>
          <w:lang w:val="fr-FR"/>
        </w:rPr>
        <w:t xml:space="preserve"> (n</w:t>
      </w:r>
      <w:r w:rsidR="005F3FA1" w:rsidRPr="00203A00">
        <w:rPr>
          <w:vertAlign w:val="superscript"/>
          <w:lang w:val="fr-FR"/>
        </w:rPr>
        <w:t>o</w:t>
      </w:r>
      <w:r w:rsidR="005F3FA1" w:rsidRPr="00203A00">
        <w:rPr>
          <w:lang w:val="fr-FR"/>
        </w:rPr>
        <w:t xml:space="preserve"> 14793/02, 12 janvier 2006), </w:t>
      </w:r>
      <w:r w:rsidR="005F3FA1" w:rsidRPr="00203A00">
        <w:rPr>
          <w:i/>
          <w:iCs/>
          <w:lang w:val="fr-FR"/>
        </w:rPr>
        <w:t>Izzo c.</w:t>
      </w:r>
      <w:r w:rsidR="00201EAC" w:rsidRPr="00203A00">
        <w:rPr>
          <w:i/>
          <w:iCs/>
          <w:lang w:val="fr-FR"/>
        </w:rPr>
        <w:t> </w:t>
      </w:r>
      <w:r w:rsidR="005F3FA1" w:rsidRPr="00203A00">
        <w:rPr>
          <w:i/>
          <w:iCs/>
          <w:lang w:val="fr-FR"/>
        </w:rPr>
        <w:t>Italie</w:t>
      </w:r>
      <w:r w:rsidR="005F3FA1" w:rsidRPr="00203A00">
        <w:rPr>
          <w:lang w:val="fr-FR"/>
        </w:rPr>
        <w:t xml:space="preserve"> (n</w:t>
      </w:r>
      <w:r w:rsidR="005F3FA1" w:rsidRPr="00203A00">
        <w:rPr>
          <w:vertAlign w:val="superscript"/>
          <w:lang w:val="fr-FR"/>
        </w:rPr>
        <w:t>o</w:t>
      </w:r>
      <w:r w:rsidR="005F3FA1" w:rsidRPr="00203A00">
        <w:rPr>
          <w:lang w:val="fr-FR"/>
        </w:rPr>
        <w:t xml:space="preserve"> 20935/03, 2 mars 2006), </w:t>
      </w:r>
      <w:r w:rsidR="005F3FA1" w:rsidRPr="00203A00">
        <w:rPr>
          <w:i/>
          <w:iCs/>
          <w:lang w:val="fr-FR"/>
        </w:rPr>
        <w:t>Gianni et autres c. Italie</w:t>
      </w:r>
      <w:r w:rsidR="005F3FA1" w:rsidRPr="00203A00">
        <w:rPr>
          <w:lang w:val="fr-FR"/>
        </w:rPr>
        <w:t xml:space="preserve"> (n</w:t>
      </w:r>
      <w:r w:rsidR="005F3FA1" w:rsidRPr="00203A00">
        <w:rPr>
          <w:vertAlign w:val="superscript"/>
          <w:lang w:val="fr-FR"/>
        </w:rPr>
        <w:t>o</w:t>
      </w:r>
      <w:r w:rsidR="005F3FA1" w:rsidRPr="00203A00">
        <w:rPr>
          <w:lang w:val="fr-FR"/>
        </w:rPr>
        <w:t> 35941/03, 30 mars 2006). Elle n</w:t>
      </w:r>
      <w:r>
        <w:rPr>
          <w:lang w:val="fr-FR"/>
        </w:rPr>
        <w:t>’</w:t>
      </w:r>
      <w:r w:rsidR="005F3FA1" w:rsidRPr="00203A00">
        <w:rPr>
          <w:lang w:val="fr-FR"/>
        </w:rPr>
        <w:t>aperçoit aucun motif de déroger à ses précédentes conclusions et rejette donc l</w:t>
      </w:r>
      <w:r>
        <w:rPr>
          <w:lang w:val="fr-FR"/>
        </w:rPr>
        <w:t>’</w:t>
      </w:r>
      <w:r w:rsidR="005F3FA1" w:rsidRPr="00203A00">
        <w:rPr>
          <w:lang w:val="fr-FR"/>
        </w:rPr>
        <w:t>exception en question.</w:t>
      </w:r>
    </w:p>
    <w:p w:rsidR="005F3FA1" w:rsidRPr="00203A00" w:rsidRDefault="00203A00" w:rsidP="005F3FA1">
      <w:pPr>
        <w:pStyle w:val="ECHRPara"/>
        <w:rPr>
          <w:lang w:val="fr-FR"/>
        </w:rPr>
      </w:pPr>
      <w:r>
        <w:fldChar w:fldCharType="begin"/>
      </w:r>
      <w:r w:rsidRPr="00203A00">
        <w:rPr>
          <w:lang w:val="fr-FR"/>
        </w:rPr>
        <w:instrText xml:space="preserve"> SEQ level0 \*arabic </w:instrText>
      </w:r>
      <w:r>
        <w:fldChar w:fldCharType="separate"/>
      </w:r>
      <w:r w:rsidR="009E7656">
        <w:rPr>
          <w:noProof/>
          <w:lang w:val="fr-FR"/>
        </w:rPr>
        <w:t>17</w:t>
      </w:r>
      <w:r>
        <w:rPr>
          <w:noProof/>
        </w:rPr>
        <w:fldChar w:fldCharType="end"/>
      </w:r>
      <w:r w:rsidR="005F3FA1" w:rsidRPr="00203A00">
        <w:rPr>
          <w:lang w:val="fr-FR"/>
        </w:rPr>
        <w:t>.  La Cour constate que le grief n</w:t>
      </w:r>
      <w:r>
        <w:rPr>
          <w:lang w:val="fr-FR"/>
        </w:rPr>
        <w:t>’</w:t>
      </w:r>
      <w:r w:rsidR="005F3FA1" w:rsidRPr="00203A00">
        <w:rPr>
          <w:lang w:val="fr-FR"/>
        </w:rPr>
        <w:t>est pas manifestement mal fondé au sens de l</w:t>
      </w:r>
      <w:r>
        <w:rPr>
          <w:lang w:val="fr-FR"/>
        </w:rPr>
        <w:t>’</w:t>
      </w:r>
      <w:r w:rsidR="005F3FA1" w:rsidRPr="00203A00">
        <w:rPr>
          <w:lang w:val="fr-FR"/>
        </w:rPr>
        <w:t>article 35 § 3 de la Convention. Elle relève par ailleurs que celui-ci ne se heurte à aucun autre motif d</w:t>
      </w:r>
      <w:r>
        <w:rPr>
          <w:lang w:val="fr-FR"/>
        </w:rPr>
        <w:t>’</w:t>
      </w:r>
      <w:r w:rsidR="005F3FA1" w:rsidRPr="00203A00">
        <w:rPr>
          <w:lang w:val="fr-FR"/>
        </w:rPr>
        <w:t>irrecevabilité. Il convient donc de le déclarer recevable.</w:t>
      </w:r>
    </w:p>
    <w:p w:rsidR="002927CA" w:rsidRPr="002927CA" w:rsidRDefault="002927CA" w:rsidP="005F3FA1">
      <w:pPr>
        <w:pStyle w:val="ECHRHeading2"/>
        <w:ind w:left="0" w:firstLine="0"/>
        <w:rPr>
          <w:rFonts w:ascii="Times New Roman" w:eastAsia="Times New Roman" w:hAnsi="Times New Roman" w:cs="Times New Roman"/>
          <w:szCs w:val="20"/>
        </w:rPr>
      </w:pPr>
      <w:r w:rsidRPr="002927CA">
        <w:rPr>
          <w:rFonts w:ascii="Times New Roman" w:eastAsia="Times New Roman" w:hAnsi="Times New Roman" w:cs="Times New Roman"/>
          <w:szCs w:val="20"/>
        </w:rPr>
        <w:t>B.  Sur le fond</w:t>
      </w:r>
    </w:p>
    <w:p w:rsidR="002927CA" w:rsidRPr="00203A00" w:rsidRDefault="002927CA" w:rsidP="00BB0A56">
      <w:pPr>
        <w:pStyle w:val="ECHRPara"/>
        <w:rPr>
          <w:rFonts w:eastAsia="Times New Roman"/>
          <w:lang w:val="fr-FR"/>
        </w:rPr>
      </w:pPr>
      <w:r>
        <w:rPr>
          <w:rFonts w:eastAsia="Times New Roman"/>
        </w:rPr>
        <w:fldChar w:fldCharType="begin"/>
      </w:r>
      <w:r w:rsidRPr="00203A00">
        <w:rPr>
          <w:rFonts w:eastAsia="Times New Roman"/>
          <w:lang w:val="fr-FR"/>
        </w:rPr>
        <w:instrText xml:space="preserve"> SEQ level0 \*arabic </w:instrText>
      </w:r>
      <w:r>
        <w:rPr>
          <w:rFonts w:eastAsia="Times New Roman"/>
        </w:rPr>
        <w:fldChar w:fldCharType="separate"/>
      </w:r>
      <w:r w:rsidR="009E7656">
        <w:rPr>
          <w:rFonts w:eastAsia="Times New Roman"/>
          <w:noProof/>
          <w:lang w:val="fr-FR"/>
        </w:rPr>
        <w:t>18</w:t>
      </w:r>
      <w:r>
        <w:rPr>
          <w:rFonts w:eastAsia="Times New Roman"/>
        </w:rPr>
        <w:fldChar w:fldCharType="end"/>
      </w:r>
      <w:r w:rsidRPr="00203A00">
        <w:rPr>
          <w:rFonts w:eastAsia="Times New Roman"/>
          <w:lang w:val="fr-FR"/>
        </w:rPr>
        <w:t>.  Les requérants rappellent qu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ils ont été privés de leur bien en vertu du principe de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expropriation indirecte, un mécanisme qui permet à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autorité publique d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acquérir un bien en toute illégalité, ce qui n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est pas admissible dans un État de droit.</w:t>
      </w:r>
    </w:p>
    <w:p w:rsidR="00203A00" w:rsidRDefault="002927CA" w:rsidP="00BB0A56">
      <w:pPr>
        <w:pStyle w:val="ECHRPara"/>
        <w:rPr>
          <w:rFonts w:eastAsia="Times New Roman"/>
          <w:lang w:val="fr-FR"/>
        </w:rPr>
      </w:pPr>
      <w:r w:rsidRPr="002927CA">
        <w:rPr>
          <w:rFonts w:eastAsia="Times New Roman"/>
        </w:rPr>
        <w:fldChar w:fldCharType="begin"/>
      </w:r>
      <w:r w:rsidRPr="00203A00">
        <w:rPr>
          <w:rFonts w:eastAsia="Times New Roman"/>
          <w:lang w:val="fr-FR"/>
        </w:rPr>
        <w:instrText xml:space="preserve"> SEQ level0 \*arabic </w:instrText>
      </w:r>
      <w:r w:rsidRPr="002927CA">
        <w:rPr>
          <w:rFonts w:eastAsia="Times New Roman"/>
        </w:rPr>
        <w:fldChar w:fldCharType="separate"/>
      </w:r>
      <w:r w:rsidR="009E7656">
        <w:rPr>
          <w:rFonts w:eastAsia="Times New Roman"/>
          <w:noProof/>
          <w:lang w:val="fr-FR"/>
        </w:rPr>
        <w:t>19</w:t>
      </w:r>
      <w:r w:rsidRPr="002927CA">
        <w:rPr>
          <w:rFonts w:eastAsia="Times New Roman"/>
        </w:rPr>
        <w:fldChar w:fldCharType="end"/>
      </w:r>
      <w:r w:rsidRPr="00203A00">
        <w:rPr>
          <w:rFonts w:eastAsia="Times New Roman"/>
          <w:lang w:val="fr-FR"/>
        </w:rPr>
        <w:t>.  Selon le Gouvernement, en dépit de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absence d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un arrêté légitime d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expropriation et de la transformation du terrain de manière irréversible par la construction d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un ouvrage d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utilité publique, rendant sa restitution impossible,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occupation litigieuse a été faite dans le cadre d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une procédure administrative reposant sur une déclaration d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utilité publique.</w:t>
      </w:r>
    </w:p>
    <w:p w:rsidR="00BD6B61" w:rsidRPr="00203A00" w:rsidRDefault="002927CA" w:rsidP="00203A00">
      <w:pPr>
        <w:pStyle w:val="ECHRPara"/>
        <w:rPr>
          <w:rFonts w:eastAsia="Times New Roman"/>
          <w:lang w:val="fr-FR"/>
        </w:rPr>
      </w:pPr>
      <w:r w:rsidRPr="002927CA">
        <w:rPr>
          <w:rFonts w:eastAsia="Times New Roman"/>
        </w:rPr>
        <w:fldChar w:fldCharType="begin"/>
      </w:r>
      <w:r w:rsidRPr="00203A00">
        <w:rPr>
          <w:rFonts w:eastAsia="Times New Roman"/>
          <w:lang w:val="fr-FR"/>
        </w:rPr>
        <w:instrText xml:space="preserve"> SEQ level0 \*arabic </w:instrText>
      </w:r>
      <w:r w:rsidRPr="002927CA">
        <w:rPr>
          <w:rFonts w:eastAsia="Times New Roman"/>
        </w:rPr>
        <w:fldChar w:fldCharType="separate"/>
      </w:r>
      <w:r w:rsidR="009E7656">
        <w:rPr>
          <w:rFonts w:eastAsia="Times New Roman"/>
          <w:noProof/>
          <w:lang w:val="fr-FR"/>
        </w:rPr>
        <w:t>20</w:t>
      </w:r>
      <w:r w:rsidRPr="002927CA">
        <w:rPr>
          <w:rFonts w:eastAsia="Times New Roman"/>
        </w:rPr>
        <w:fldChar w:fldCharType="end"/>
      </w:r>
      <w:r w:rsidRPr="00203A00">
        <w:rPr>
          <w:rFonts w:eastAsia="Times New Roman"/>
          <w:lang w:val="fr-FR"/>
        </w:rPr>
        <w:t>. La Cour note tout d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abord que les parties s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accordent pour dire qu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il y a eu « privation de la propriété ».</w:t>
      </w:r>
    </w:p>
    <w:p w:rsidR="00203A00" w:rsidRDefault="002927CA" w:rsidP="00201EAC">
      <w:pPr>
        <w:pStyle w:val="ECHRPara"/>
        <w:rPr>
          <w:rFonts w:eastAsia="Times New Roman"/>
          <w:lang w:val="fr-FR"/>
        </w:rPr>
      </w:pPr>
      <w:r w:rsidRPr="002927CA">
        <w:rPr>
          <w:rFonts w:eastAsia="Times New Roman"/>
        </w:rPr>
        <w:fldChar w:fldCharType="begin"/>
      </w:r>
      <w:r w:rsidRPr="00203A00">
        <w:rPr>
          <w:rFonts w:eastAsia="Times New Roman"/>
          <w:lang w:val="fr-FR"/>
        </w:rPr>
        <w:instrText xml:space="preserve"> SEQ level0 \*arabic </w:instrText>
      </w:r>
      <w:r w:rsidRPr="002927CA">
        <w:rPr>
          <w:rFonts w:eastAsia="Times New Roman"/>
        </w:rPr>
        <w:fldChar w:fldCharType="separate"/>
      </w:r>
      <w:r w:rsidR="009E7656">
        <w:rPr>
          <w:rFonts w:eastAsia="Times New Roman"/>
          <w:noProof/>
          <w:lang w:val="fr-FR"/>
        </w:rPr>
        <w:t>21</w:t>
      </w:r>
      <w:r w:rsidRPr="002927CA">
        <w:rPr>
          <w:rFonts w:eastAsia="Times New Roman"/>
        </w:rPr>
        <w:fldChar w:fldCharType="end"/>
      </w:r>
      <w:r w:rsidRPr="00203A00">
        <w:rPr>
          <w:rFonts w:eastAsia="Times New Roman"/>
          <w:lang w:val="fr-FR"/>
        </w:rPr>
        <w:t>.  La Cour renvoie à sa jurisprudence en matière d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 xml:space="preserve">expropriation </w:t>
      </w:r>
      <w:bookmarkStart w:id="1" w:name="HIT16"/>
      <w:bookmarkEnd w:id="1"/>
      <w:r w:rsidRPr="00203A00">
        <w:rPr>
          <w:rFonts w:eastAsia="Times New Roman"/>
          <w:bCs/>
          <w:lang w:val="fr-FR"/>
        </w:rPr>
        <w:t>indirecte</w:t>
      </w:r>
      <w:r w:rsidRPr="00203A00">
        <w:rPr>
          <w:rFonts w:eastAsia="Times New Roman"/>
          <w:lang w:val="fr-FR"/>
        </w:rPr>
        <w:t xml:space="preserve"> (voir, parmi d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 xml:space="preserve">autres, </w:t>
      </w:r>
      <w:r w:rsidRPr="00203A00">
        <w:rPr>
          <w:rFonts w:eastAsia="Times New Roman"/>
          <w:i/>
          <w:iCs/>
          <w:lang w:val="fr-FR"/>
        </w:rPr>
        <w:t>Belvedere Alberghiera S.r.l. c.</w:t>
      </w:r>
      <w:r w:rsidR="00201EAC" w:rsidRPr="00203A00">
        <w:rPr>
          <w:rFonts w:eastAsia="Times New Roman"/>
          <w:i/>
          <w:iCs/>
          <w:lang w:val="fr-FR"/>
        </w:rPr>
        <w:t> </w:t>
      </w:r>
      <w:r w:rsidRPr="00203A00">
        <w:rPr>
          <w:rFonts w:eastAsia="Times New Roman"/>
          <w:i/>
          <w:iCs/>
          <w:lang w:val="fr-FR"/>
        </w:rPr>
        <w:t>Italie</w:t>
      </w:r>
      <w:r w:rsidRPr="00203A00">
        <w:rPr>
          <w:rFonts w:eastAsia="Times New Roman"/>
          <w:lang w:val="fr-FR"/>
        </w:rPr>
        <w:t>, n</w:t>
      </w:r>
      <w:r w:rsidR="0055092B" w:rsidRPr="00203A00">
        <w:rPr>
          <w:rFonts w:eastAsia="Times New Roman"/>
          <w:vertAlign w:val="superscript"/>
          <w:lang w:val="fr-FR"/>
        </w:rPr>
        <w:t>o</w:t>
      </w:r>
      <w:r w:rsidR="0055092B" w:rsidRPr="00203A00">
        <w:rPr>
          <w:rFonts w:eastAsia="Times New Roman"/>
          <w:lang w:val="fr-FR"/>
        </w:rPr>
        <w:t> </w:t>
      </w:r>
      <w:r w:rsidRPr="00203A00">
        <w:rPr>
          <w:rFonts w:eastAsia="Times New Roman"/>
          <w:lang w:val="fr-FR"/>
        </w:rPr>
        <w:t xml:space="preserve">1524/96, CEDH 2000-VI ; </w:t>
      </w:r>
      <w:r w:rsidRPr="00203A00">
        <w:rPr>
          <w:rFonts w:eastAsia="Times New Roman"/>
          <w:i/>
          <w:iCs/>
          <w:lang w:val="fr-FR"/>
        </w:rPr>
        <w:t>Scordino c. Italie (n</w:t>
      </w:r>
      <w:r w:rsidRPr="00203A00">
        <w:rPr>
          <w:rFonts w:eastAsia="Times New Roman"/>
          <w:i/>
          <w:iCs/>
          <w:vertAlign w:val="superscript"/>
          <w:lang w:val="fr-FR"/>
        </w:rPr>
        <w:t>o</w:t>
      </w:r>
      <w:r w:rsidRPr="00203A00">
        <w:rPr>
          <w:rFonts w:eastAsia="Times New Roman"/>
          <w:i/>
          <w:iCs/>
          <w:lang w:val="fr-FR"/>
        </w:rPr>
        <w:t xml:space="preserve"> 3)</w:t>
      </w:r>
      <w:r w:rsidRPr="00203A00">
        <w:rPr>
          <w:rFonts w:eastAsia="Times New Roman"/>
          <w:lang w:val="fr-FR"/>
        </w:rPr>
        <w:t>, n</w:t>
      </w:r>
      <w:r w:rsidRPr="00203A00">
        <w:rPr>
          <w:rFonts w:eastAsia="Times New Roman"/>
          <w:vertAlign w:val="superscript"/>
          <w:lang w:val="fr-FR"/>
        </w:rPr>
        <w:t>o</w:t>
      </w:r>
      <w:r w:rsidR="00311FB6" w:rsidRPr="00203A00">
        <w:rPr>
          <w:rFonts w:eastAsia="Times New Roman"/>
          <w:lang w:val="fr-FR"/>
        </w:rPr>
        <w:t xml:space="preserve"> 43662/98, 17</w:t>
      </w:r>
      <w:r w:rsidR="00201EAC" w:rsidRPr="00203A00">
        <w:rPr>
          <w:rFonts w:eastAsia="Times New Roman"/>
          <w:lang w:val="fr-FR"/>
        </w:rPr>
        <w:t> </w:t>
      </w:r>
      <w:r w:rsidR="00311FB6" w:rsidRPr="00203A00">
        <w:rPr>
          <w:rFonts w:eastAsia="Times New Roman"/>
          <w:lang w:val="fr-FR"/>
        </w:rPr>
        <w:t>mai</w:t>
      </w:r>
      <w:r w:rsidR="00201EAC" w:rsidRPr="00203A00">
        <w:rPr>
          <w:rFonts w:eastAsia="Times New Roman"/>
          <w:lang w:val="fr-FR"/>
        </w:rPr>
        <w:t> </w:t>
      </w:r>
      <w:r w:rsidR="00311FB6" w:rsidRPr="00203A00">
        <w:rPr>
          <w:rFonts w:eastAsia="Times New Roman"/>
          <w:lang w:val="fr-FR"/>
        </w:rPr>
        <w:t>2005</w:t>
      </w:r>
      <w:r w:rsidRPr="00203A00">
        <w:rPr>
          <w:rFonts w:eastAsia="Times New Roman"/>
          <w:lang w:val="fr-FR"/>
        </w:rPr>
        <w:t xml:space="preserve">; </w:t>
      </w:r>
      <w:r w:rsidRPr="00203A00">
        <w:rPr>
          <w:rFonts w:eastAsia="Times New Roman"/>
          <w:i/>
          <w:lang w:val="fr-FR"/>
        </w:rPr>
        <w:t>Velocci c. Italie</w:t>
      </w:r>
      <w:r w:rsidRPr="00203A00">
        <w:rPr>
          <w:rFonts w:eastAsia="Times New Roman"/>
          <w:lang w:val="fr-FR"/>
        </w:rPr>
        <w:t>, n</w:t>
      </w:r>
      <w:r w:rsidRPr="00203A00">
        <w:rPr>
          <w:rFonts w:eastAsia="Times New Roman"/>
          <w:vertAlign w:val="superscript"/>
          <w:lang w:val="fr-FR"/>
        </w:rPr>
        <w:t>o</w:t>
      </w:r>
      <w:r w:rsidRPr="00203A00">
        <w:rPr>
          <w:rFonts w:eastAsia="Times New Roman"/>
          <w:lang w:val="fr-FR"/>
        </w:rPr>
        <w:t xml:space="preserve"> 1717/03, 18 mars 2008) pour la récapitulation des principes pertinents et pour un aperçu de sa jurisprudence dans la matière.</w:t>
      </w:r>
    </w:p>
    <w:p w:rsidR="002927CA" w:rsidRPr="00203A00" w:rsidRDefault="002927CA" w:rsidP="00BB0A56">
      <w:pPr>
        <w:pStyle w:val="ECHRPara"/>
        <w:rPr>
          <w:rFonts w:eastAsia="Times New Roman"/>
          <w:lang w:val="fr-FR"/>
        </w:rPr>
      </w:pPr>
      <w:r w:rsidRPr="002927CA">
        <w:rPr>
          <w:rFonts w:eastAsia="Times New Roman"/>
        </w:rPr>
        <w:fldChar w:fldCharType="begin"/>
      </w:r>
      <w:r w:rsidRPr="00203A00">
        <w:rPr>
          <w:rFonts w:eastAsia="Times New Roman"/>
          <w:lang w:val="fr-FR"/>
        </w:rPr>
        <w:instrText xml:space="preserve"> SEQ level0 \*arabic </w:instrText>
      </w:r>
      <w:r w:rsidRPr="002927CA">
        <w:rPr>
          <w:rFonts w:eastAsia="Times New Roman"/>
        </w:rPr>
        <w:fldChar w:fldCharType="separate"/>
      </w:r>
      <w:r w:rsidR="009E7656">
        <w:rPr>
          <w:rFonts w:eastAsia="Times New Roman"/>
          <w:noProof/>
          <w:lang w:val="fr-FR"/>
        </w:rPr>
        <w:t>22</w:t>
      </w:r>
      <w:r w:rsidRPr="002927CA">
        <w:rPr>
          <w:rFonts w:eastAsia="Times New Roman"/>
        </w:rPr>
        <w:fldChar w:fldCharType="end"/>
      </w:r>
      <w:r w:rsidRPr="00203A00">
        <w:rPr>
          <w:rFonts w:eastAsia="Times New Roman"/>
          <w:lang w:val="fr-FR"/>
        </w:rPr>
        <w:t>.  Dans la présente affaire, la Cour relève qu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en appliquant le principe de l</w:t>
      </w:r>
      <w:r w:rsidR="00203A00">
        <w:rPr>
          <w:rFonts w:eastAsia="Times New Roman"/>
          <w:lang w:val="fr-FR"/>
        </w:rPr>
        <w:t>’</w:t>
      </w:r>
      <w:bookmarkStart w:id="2" w:name="HIT19"/>
      <w:bookmarkEnd w:id="2"/>
      <w:r w:rsidRPr="00203A00">
        <w:rPr>
          <w:rFonts w:eastAsia="Times New Roman"/>
          <w:bCs/>
          <w:lang w:val="fr-FR"/>
        </w:rPr>
        <w:t>expropriation</w:t>
      </w:r>
      <w:r w:rsidRPr="00203A00">
        <w:rPr>
          <w:rFonts w:eastAsia="Times New Roman"/>
          <w:lang w:val="fr-FR"/>
        </w:rPr>
        <w:t xml:space="preserve"> </w:t>
      </w:r>
      <w:bookmarkStart w:id="3" w:name="HIT20"/>
      <w:bookmarkEnd w:id="3"/>
      <w:r w:rsidRPr="00203A00">
        <w:rPr>
          <w:rFonts w:eastAsia="Times New Roman"/>
          <w:bCs/>
          <w:lang w:val="fr-FR"/>
        </w:rPr>
        <w:t>indirecte</w:t>
      </w:r>
      <w:r w:rsidRPr="00203A00">
        <w:rPr>
          <w:rFonts w:eastAsia="Times New Roman"/>
          <w:lang w:val="fr-FR"/>
        </w:rPr>
        <w:t xml:space="preserve">, les juridictions internes ont considéré les requérants privés de leur bien </w:t>
      </w:r>
      <w:r w:rsidRPr="00203A00">
        <w:rPr>
          <w:rFonts w:eastAsia="Times New Roman"/>
          <w:lang w:val="fr-FR" w:eastAsia="en-GB"/>
        </w:rPr>
        <w:t>à compter de</w:t>
      </w:r>
      <w:r w:rsidRPr="00203A00">
        <w:rPr>
          <w:rFonts w:eastAsia="Times New Roman"/>
          <w:lang w:val="fr-FR"/>
        </w:rPr>
        <w:t xml:space="preserve"> la </w:t>
      </w:r>
      <w:r w:rsidR="002E39B7" w:rsidRPr="00203A00">
        <w:rPr>
          <w:rFonts w:eastAsia="Times New Roman"/>
          <w:lang w:val="fr-FR"/>
        </w:rPr>
        <w:t>fin de l</w:t>
      </w:r>
      <w:r w:rsidR="0055092B" w:rsidRPr="00203A00">
        <w:rPr>
          <w:rFonts w:eastAsia="Times New Roman"/>
          <w:lang w:val="fr-FR"/>
        </w:rPr>
        <w:t>a</w:t>
      </w:r>
      <w:r w:rsidR="002E39B7" w:rsidRPr="00203A00">
        <w:rPr>
          <w:rFonts w:eastAsia="Times New Roman"/>
          <w:lang w:val="fr-FR"/>
        </w:rPr>
        <w:t xml:space="preserve"> période d</w:t>
      </w:r>
      <w:r w:rsidR="00203A00">
        <w:rPr>
          <w:rFonts w:eastAsia="Times New Roman"/>
          <w:lang w:val="fr-FR"/>
        </w:rPr>
        <w:t>’</w:t>
      </w:r>
      <w:r w:rsidR="002E39B7" w:rsidRPr="00203A00">
        <w:rPr>
          <w:rFonts w:eastAsia="Times New Roman"/>
          <w:lang w:val="fr-FR"/>
        </w:rPr>
        <w:t>occupation légitime, à savoir le 5 juin 1996</w:t>
      </w:r>
      <w:r w:rsidR="0055092B" w:rsidRPr="00203A00">
        <w:rPr>
          <w:rFonts w:eastAsia="Times New Roman"/>
          <w:lang w:val="fr-FR"/>
        </w:rPr>
        <w:t>.</w:t>
      </w:r>
      <w:r w:rsidRPr="00203A00">
        <w:rPr>
          <w:rFonts w:eastAsia="Times New Roman"/>
          <w:lang w:val="fr-FR"/>
        </w:rPr>
        <w:t xml:space="preserve"> Or, en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absence d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un acte formel d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expropriation, la Cour estime que cette situation ne saurait être considérée comme « prévisible », puisque ce n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est que par la décision judiciaire définitive que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on peut considérer le principe de l</w:t>
      </w:r>
      <w:r w:rsidR="00203A00">
        <w:rPr>
          <w:rFonts w:eastAsia="Times New Roman"/>
          <w:lang w:val="fr-FR"/>
        </w:rPr>
        <w:t>’</w:t>
      </w:r>
      <w:bookmarkStart w:id="4" w:name="HIT21"/>
      <w:bookmarkEnd w:id="4"/>
      <w:r w:rsidRPr="00203A00">
        <w:rPr>
          <w:rFonts w:eastAsia="Times New Roman"/>
          <w:bCs/>
          <w:lang w:val="fr-FR"/>
        </w:rPr>
        <w:t>expropriation</w:t>
      </w:r>
      <w:r w:rsidRPr="00203A00">
        <w:rPr>
          <w:rFonts w:eastAsia="Times New Roman"/>
          <w:lang w:val="fr-FR"/>
        </w:rPr>
        <w:t xml:space="preserve"> </w:t>
      </w:r>
      <w:bookmarkStart w:id="5" w:name="HIT22"/>
      <w:bookmarkEnd w:id="5"/>
      <w:r w:rsidRPr="00203A00">
        <w:rPr>
          <w:rFonts w:eastAsia="Times New Roman"/>
          <w:bCs/>
          <w:lang w:val="fr-FR"/>
        </w:rPr>
        <w:t>indirecte</w:t>
      </w:r>
      <w:r w:rsidRPr="00203A00">
        <w:rPr>
          <w:rFonts w:eastAsia="Times New Roman"/>
          <w:lang w:val="fr-FR"/>
        </w:rPr>
        <w:t xml:space="preserve"> comme ayant effectivement été appliqué et que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acquisition du terrain par les pouvoirs publics a été consacrée. Par conséquent, les requérants n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 xml:space="preserve">ont eu la « sécurité juridique » concernant la privation du terrain </w:t>
      </w:r>
      <w:r w:rsidR="0055092B" w:rsidRPr="00203A00">
        <w:rPr>
          <w:rFonts w:eastAsia="Times New Roman"/>
          <w:lang w:val="fr-FR"/>
        </w:rPr>
        <w:t xml:space="preserve">que </w:t>
      </w:r>
      <w:r w:rsidRPr="00203A00">
        <w:rPr>
          <w:rFonts w:eastAsia="Times New Roman"/>
          <w:lang w:val="fr-FR"/>
        </w:rPr>
        <w:t xml:space="preserve">le </w:t>
      </w:r>
      <w:r w:rsidR="00820025" w:rsidRPr="00203A00">
        <w:rPr>
          <w:rFonts w:eastAsia="Times New Roman"/>
          <w:lang w:val="fr-FR"/>
        </w:rPr>
        <w:t>19 avril </w:t>
      </w:r>
      <w:r w:rsidR="002E39B7" w:rsidRPr="00203A00">
        <w:rPr>
          <w:rFonts w:eastAsia="Times New Roman"/>
          <w:lang w:val="fr-FR"/>
        </w:rPr>
        <w:t xml:space="preserve"> 2003</w:t>
      </w:r>
      <w:r w:rsidRPr="00203A00">
        <w:rPr>
          <w:rFonts w:eastAsia="Times New Roman"/>
          <w:lang w:val="fr-FR"/>
        </w:rPr>
        <w:t xml:space="preserve">, </w:t>
      </w:r>
      <w:r w:rsidR="002E39B7" w:rsidRPr="00203A00">
        <w:rPr>
          <w:color w:val="000000"/>
          <w:lang w:val="fr-FR"/>
        </w:rPr>
        <w:t>date à laquelle le jugement du tribunal de Caltagirone est devenu définitif</w:t>
      </w:r>
      <w:r w:rsidR="005526D1" w:rsidRPr="00203A00">
        <w:rPr>
          <w:color w:val="000000"/>
          <w:lang w:val="fr-FR"/>
        </w:rPr>
        <w:t xml:space="preserve"> (paragraphe 10 ci-dessus)</w:t>
      </w:r>
      <w:r w:rsidR="002E39B7" w:rsidRPr="00203A00">
        <w:rPr>
          <w:color w:val="000000"/>
          <w:lang w:val="fr-FR"/>
        </w:rPr>
        <w:t>.</w:t>
      </w:r>
    </w:p>
    <w:p w:rsidR="002927CA" w:rsidRPr="00203A00" w:rsidRDefault="002927CA" w:rsidP="00BB0A56">
      <w:pPr>
        <w:pStyle w:val="ECHRPara"/>
        <w:rPr>
          <w:rFonts w:eastAsia="Times New Roman"/>
          <w:lang w:val="fr-FR"/>
        </w:rPr>
      </w:pPr>
      <w:r w:rsidRPr="002927CA">
        <w:rPr>
          <w:rFonts w:eastAsia="Times New Roman"/>
        </w:rPr>
        <w:fldChar w:fldCharType="begin"/>
      </w:r>
      <w:r w:rsidRPr="00203A00">
        <w:rPr>
          <w:rFonts w:eastAsia="Times New Roman"/>
          <w:lang w:val="fr-FR"/>
        </w:rPr>
        <w:instrText xml:space="preserve"> SEQ level0 \*arabic </w:instrText>
      </w:r>
      <w:r w:rsidRPr="002927CA">
        <w:rPr>
          <w:rFonts w:eastAsia="Times New Roman"/>
        </w:rPr>
        <w:fldChar w:fldCharType="separate"/>
      </w:r>
      <w:r w:rsidR="009E7656">
        <w:rPr>
          <w:rFonts w:eastAsia="Times New Roman"/>
          <w:noProof/>
          <w:lang w:val="fr-FR"/>
        </w:rPr>
        <w:t>23</w:t>
      </w:r>
      <w:r w:rsidRPr="002927CA">
        <w:rPr>
          <w:rFonts w:eastAsia="Times New Roman"/>
        </w:rPr>
        <w:fldChar w:fldCharType="end"/>
      </w:r>
      <w:r w:rsidRPr="00203A00">
        <w:rPr>
          <w:rFonts w:eastAsia="Times New Roman"/>
          <w:lang w:val="fr-FR"/>
        </w:rPr>
        <w:t>. La Cour estime que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ingérence litigieuse n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est pas compatible avec le principe de légalité et qu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elle a donc enfreint le droit au respect des biens des requérants entraînant la</w:t>
      </w:r>
      <w:r w:rsidR="00203A00">
        <w:rPr>
          <w:rFonts w:eastAsia="Times New Roman"/>
          <w:lang w:val="fr-FR"/>
        </w:rPr>
        <w:t xml:space="preserve"> </w:t>
      </w:r>
      <w:r w:rsidRPr="00203A00">
        <w:rPr>
          <w:rFonts w:eastAsia="Times New Roman"/>
          <w:lang w:val="fr-FR"/>
        </w:rPr>
        <w:t>violation de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article 1 du Protocole n</w:t>
      </w:r>
      <w:r w:rsidRPr="00203A00">
        <w:rPr>
          <w:rFonts w:eastAsia="Times New Roman"/>
          <w:vertAlign w:val="superscript"/>
          <w:lang w:val="fr-FR"/>
        </w:rPr>
        <w:t>o</w:t>
      </w:r>
      <w:r w:rsidR="0055092B" w:rsidRPr="00203A00">
        <w:rPr>
          <w:rFonts w:eastAsia="Times New Roman"/>
          <w:lang w:val="fr-FR"/>
        </w:rPr>
        <w:t xml:space="preserve"> 1.</w:t>
      </w:r>
    </w:p>
    <w:p w:rsidR="002927CA" w:rsidRPr="002927CA" w:rsidRDefault="002927CA" w:rsidP="00203A00">
      <w:pPr>
        <w:pStyle w:val="ECHRHeading1"/>
        <w:rPr>
          <w:rFonts w:eastAsia="Times New Roman"/>
        </w:rPr>
      </w:pPr>
      <w:r w:rsidRPr="002927CA">
        <w:rPr>
          <w:rFonts w:eastAsia="Times New Roman"/>
        </w:rPr>
        <w:t>II.  SUR LA VIOLATION ALLÉGUÉE DE L</w:t>
      </w:r>
      <w:r w:rsidR="00203A00">
        <w:rPr>
          <w:rFonts w:eastAsia="Times New Roman"/>
        </w:rPr>
        <w:t>’</w:t>
      </w:r>
      <w:r w:rsidRPr="002927CA">
        <w:rPr>
          <w:rFonts w:eastAsia="Times New Roman"/>
        </w:rPr>
        <w:t>ARTICLE 6 § 1 DE LA CONVENTION</w:t>
      </w:r>
    </w:p>
    <w:p w:rsidR="002927CA" w:rsidRPr="002927CA" w:rsidRDefault="002927CA" w:rsidP="00203A00">
      <w:pPr>
        <w:pStyle w:val="ECHRHeading2"/>
        <w:rPr>
          <w:rFonts w:eastAsia="Times New Roman"/>
        </w:rPr>
      </w:pPr>
      <w:r w:rsidRPr="002927CA">
        <w:rPr>
          <w:rFonts w:eastAsia="Times New Roman"/>
        </w:rPr>
        <w:t>A.  Sur la recevabilité</w:t>
      </w:r>
    </w:p>
    <w:p w:rsidR="002927CA" w:rsidRPr="00203A00" w:rsidRDefault="002927CA" w:rsidP="00BB0A56">
      <w:pPr>
        <w:pStyle w:val="ECHRPara"/>
        <w:rPr>
          <w:rFonts w:eastAsia="Times New Roman"/>
          <w:lang w:val="fr-FR"/>
        </w:rPr>
      </w:pPr>
      <w:r w:rsidRPr="002927CA">
        <w:rPr>
          <w:rFonts w:eastAsia="Times New Roman"/>
        </w:rPr>
        <w:fldChar w:fldCharType="begin"/>
      </w:r>
      <w:r w:rsidRPr="00203A00">
        <w:rPr>
          <w:rFonts w:eastAsia="Times New Roman"/>
          <w:lang w:val="fr-FR"/>
        </w:rPr>
        <w:instrText xml:space="preserve"> SEQ level0 \*arabic </w:instrText>
      </w:r>
      <w:r w:rsidRPr="002927CA">
        <w:rPr>
          <w:rFonts w:eastAsia="Times New Roman"/>
        </w:rPr>
        <w:fldChar w:fldCharType="separate"/>
      </w:r>
      <w:r w:rsidR="009E7656">
        <w:rPr>
          <w:rFonts w:eastAsia="Times New Roman"/>
          <w:noProof/>
          <w:lang w:val="fr-FR"/>
        </w:rPr>
        <w:t>24</w:t>
      </w:r>
      <w:r w:rsidRPr="002927CA">
        <w:rPr>
          <w:rFonts w:eastAsia="Times New Roman"/>
        </w:rPr>
        <w:fldChar w:fldCharType="end"/>
      </w:r>
      <w:r w:rsidRPr="00203A00">
        <w:rPr>
          <w:rFonts w:eastAsia="Times New Roman"/>
          <w:lang w:val="fr-FR"/>
        </w:rPr>
        <w:t>.  Les requérants se plaignent de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absence d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équité de la procédure. Ils font valoir qu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ils ne purent pas être dédommagés à hauteur de la valeur vénale du terrain, en raison de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application de</w:t>
      </w:r>
      <w:r w:rsidR="00203A00">
        <w:rPr>
          <w:rFonts w:eastAsia="Times New Roman"/>
          <w:lang w:val="fr-FR"/>
        </w:rPr>
        <w:t xml:space="preserve"> </w:t>
      </w:r>
      <w:r w:rsidRPr="00203A00">
        <w:rPr>
          <w:rFonts w:eastAsia="Times New Roman"/>
          <w:lang w:val="fr-FR"/>
        </w:rPr>
        <w:t>la loi n</w:t>
      </w:r>
      <w:r w:rsidR="00D0210D" w:rsidRPr="00203A00">
        <w:rPr>
          <w:rFonts w:eastAsia="Times New Roman"/>
          <w:vertAlign w:val="superscript"/>
          <w:lang w:val="fr-FR"/>
        </w:rPr>
        <w:t>o</w:t>
      </w:r>
      <w:r w:rsidRPr="00203A00">
        <w:rPr>
          <w:rFonts w:eastAsia="Times New Roman"/>
          <w:lang w:val="fr-FR"/>
        </w:rPr>
        <w:t xml:space="preserve"> 662 de 1996, entrée en vigueur en cours de procédure.</w:t>
      </w:r>
    </w:p>
    <w:p w:rsidR="002927CA" w:rsidRPr="00203A00" w:rsidRDefault="002927CA" w:rsidP="00BB0A56">
      <w:pPr>
        <w:pStyle w:val="ECHRPara"/>
        <w:rPr>
          <w:rFonts w:eastAsia="Times New Roman"/>
          <w:lang w:val="fr-FR"/>
        </w:rPr>
      </w:pPr>
      <w:r w:rsidRPr="002927CA">
        <w:rPr>
          <w:rFonts w:eastAsia="Times New Roman"/>
        </w:rPr>
        <w:fldChar w:fldCharType="begin"/>
      </w:r>
      <w:r w:rsidRPr="00203A00">
        <w:rPr>
          <w:rFonts w:eastAsia="Times New Roman"/>
          <w:lang w:val="fr-FR"/>
        </w:rPr>
        <w:instrText xml:space="preserve"> SEQ level0 \*arabic </w:instrText>
      </w:r>
      <w:r w:rsidRPr="002927CA">
        <w:rPr>
          <w:rFonts w:eastAsia="Times New Roman"/>
        </w:rPr>
        <w:fldChar w:fldCharType="separate"/>
      </w:r>
      <w:r w:rsidR="009E7656">
        <w:rPr>
          <w:rFonts w:eastAsia="Times New Roman"/>
          <w:noProof/>
          <w:lang w:val="fr-FR"/>
        </w:rPr>
        <w:t>25</w:t>
      </w:r>
      <w:r w:rsidRPr="002927CA">
        <w:rPr>
          <w:rFonts w:eastAsia="Times New Roman"/>
        </w:rPr>
        <w:fldChar w:fldCharType="end"/>
      </w:r>
      <w:r w:rsidRPr="00203A00">
        <w:rPr>
          <w:rFonts w:eastAsia="Times New Roman"/>
          <w:lang w:val="fr-FR"/>
        </w:rPr>
        <w:t>.  Ils invoquent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article 6 § 1 de la Convention, qui dans ses passages pertinents dispose :</w:t>
      </w:r>
    </w:p>
    <w:p w:rsidR="002927CA" w:rsidRPr="002927CA" w:rsidRDefault="002927CA" w:rsidP="00BB0A56">
      <w:pPr>
        <w:pStyle w:val="ECHRParaQuote"/>
        <w:rPr>
          <w:rFonts w:eastAsia="Times New Roman"/>
        </w:rPr>
      </w:pPr>
      <w:r w:rsidRPr="002927CA">
        <w:rPr>
          <w:rFonts w:eastAsia="Times New Roman"/>
        </w:rPr>
        <w:t>« Toute personne a droit à ce que sa cause soit entendue équitablement (...) par un tribunal (...), qui décidera (...) des contestations sur ses droits et obligations de caractère civil (...) »</w:t>
      </w:r>
    </w:p>
    <w:p w:rsidR="002927CA" w:rsidRPr="00203A00" w:rsidRDefault="002927CA" w:rsidP="00BB0A56">
      <w:pPr>
        <w:pStyle w:val="ECHRPara"/>
        <w:rPr>
          <w:rFonts w:eastAsia="Times New Roman"/>
          <w:lang w:val="fr-FR"/>
        </w:rPr>
      </w:pPr>
      <w:r w:rsidRPr="002927CA">
        <w:rPr>
          <w:rFonts w:eastAsia="Times New Roman"/>
        </w:rPr>
        <w:fldChar w:fldCharType="begin"/>
      </w:r>
      <w:r w:rsidRPr="00203A00">
        <w:rPr>
          <w:rFonts w:eastAsia="Times New Roman"/>
          <w:lang w:val="fr-FR"/>
        </w:rPr>
        <w:instrText xml:space="preserve"> SEQ level0 \*arabic </w:instrText>
      </w:r>
      <w:r w:rsidRPr="002927CA">
        <w:rPr>
          <w:rFonts w:eastAsia="Times New Roman"/>
        </w:rPr>
        <w:fldChar w:fldCharType="separate"/>
      </w:r>
      <w:r w:rsidR="009E7656">
        <w:rPr>
          <w:rFonts w:eastAsia="Times New Roman"/>
          <w:noProof/>
          <w:lang w:val="fr-FR"/>
        </w:rPr>
        <w:t>26</w:t>
      </w:r>
      <w:r w:rsidRPr="002927CA">
        <w:rPr>
          <w:rFonts w:eastAsia="Times New Roman"/>
        </w:rPr>
        <w:fldChar w:fldCharType="end"/>
      </w:r>
      <w:r w:rsidRPr="00203A00">
        <w:rPr>
          <w:rFonts w:eastAsia="Times New Roman"/>
          <w:lang w:val="fr-FR"/>
        </w:rPr>
        <w:t>.  Le Gouvernement conteste cette thèse.</w:t>
      </w:r>
    </w:p>
    <w:p w:rsidR="002927CA" w:rsidRPr="00203A00" w:rsidRDefault="002927CA" w:rsidP="00BB0A56">
      <w:pPr>
        <w:pStyle w:val="ECHRPara"/>
        <w:rPr>
          <w:rFonts w:eastAsia="Times New Roman"/>
          <w:lang w:val="fr-FR"/>
        </w:rPr>
      </w:pPr>
      <w:r w:rsidRPr="002927CA">
        <w:rPr>
          <w:rFonts w:eastAsia="Times New Roman"/>
        </w:rPr>
        <w:fldChar w:fldCharType="begin"/>
      </w:r>
      <w:r w:rsidRPr="00203A00">
        <w:rPr>
          <w:rFonts w:eastAsia="Times New Roman"/>
          <w:lang w:val="fr-FR"/>
        </w:rPr>
        <w:instrText xml:space="preserve"> SEQ level0 \*arabic </w:instrText>
      </w:r>
      <w:r w:rsidRPr="002927CA">
        <w:rPr>
          <w:rFonts w:eastAsia="Times New Roman"/>
        </w:rPr>
        <w:fldChar w:fldCharType="separate"/>
      </w:r>
      <w:r w:rsidR="009E7656">
        <w:rPr>
          <w:rFonts w:eastAsia="Times New Roman"/>
          <w:noProof/>
          <w:lang w:val="fr-FR"/>
        </w:rPr>
        <w:t>27</w:t>
      </w:r>
      <w:r w:rsidRPr="002927CA">
        <w:rPr>
          <w:rFonts w:eastAsia="Times New Roman"/>
        </w:rPr>
        <w:fldChar w:fldCharType="end"/>
      </w:r>
      <w:r w:rsidRPr="00203A00">
        <w:rPr>
          <w:rFonts w:eastAsia="Times New Roman"/>
          <w:lang w:val="fr-FR"/>
        </w:rPr>
        <w:t>.  La Cour constate que ce grief n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est pas manifestement mal fondé au sens de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article 35 § 3 de la Convention. Elle relève par ailleurs qu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il ne se heurte à aucun autre motif d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 xml:space="preserve">irrecevabilité. Il convient </w:t>
      </w:r>
      <w:r w:rsidR="0055092B" w:rsidRPr="00203A00">
        <w:rPr>
          <w:rFonts w:eastAsia="Times New Roman"/>
          <w:lang w:val="fr-FR"/>
        </w:rPr>
        <w:t>donc de le déclarer recevable.</w:t>
      </w:r>
    </w:p>
    <w:p w:rsidR="002927CA" w:rsidRPr="00203A00" w:rsidRDefault="002927CA" w:rsidP="00203A00">
      <w:pPr>
        <w:pStyle w:val="ECHRHeading2"/>
        <w:rPr>
          <w:rFonts w:eastAsia="Times New Roman"/>
        </w:rPr>
      </w:pPr>
      <w:r w:rsidRPr="00203A00">
        <w:rPr>
          <w:rFonts w:eastAsia="Times New Roman"/>
        </w:rPr>
        <w:t>B.  Sur le fond</w:t>
      </w:r>
    </w:p>
    <w:p w:rsidR="002927CA" w:rsidRPr="00203A00" w:rsidRDefault="002927CA" w:rsidP="00BB0A56">
      <w:pPr>
        <w:pStyle w:val="ECHRPara"/>
        <w:rPr>
          <w:rFonts w:eastAsia="Times New Roman"/>
          <w:color w:val="000000"/>
          <w:szCs w:val="24"/>
          <w:lang w:val="fr-FR" w:eastAsia="en-GB"/>
        </w:rPr>
      </w:pPr>
      <w:r w:rsidRPr="002927CA">
        <w:rPr>
          <w:rFonts w:eastAsia="Times New Roman"/>
        </w:rPr>
        <w:fldChar w:fldCharType="begin"/>
      </w:r>
      <w:r w:rsidRPr="00203A00">
        <w:rPr>
          <w:rFonts w:eastAsia="Times New Roman"/>
          <w:lang w:val="fr-FR"/>
        </w:rPr>
        <w:instrText xml:space="preserve"> SEQ level0 \*arabic </w:instrText>
      </w:r>
      <w:r w:rsidRPr="002927CA">
        <w:rPr>
          <w:rFonts w:eastAsia="Times New Roman"/>
        </w:rPr>
        <w:fldChar w:fldCharType="separate"/>
      </w:r>
      <w:r w:rsidR="009E7656">
        <w:rPr>
          <w:rFonts w:eastAsia="Times New Roman"/>
          <w:noProof/>
          <w:lang w:val="fr-FR"/>
        </w:rPr>
        <w:t>28</w:t>
      </w:r>
      <w:r w:rsidRPr="002927CA">
        <w:rPr>
          <w:rFonts w:eastAsia="Times New Roman"/>
        </w:rPr>
        <w:fldChar w:fldCharType="end"/>
      </w:r>
      <w:r w:rsidRPr="00203A00">
        <w:rPr>
          <w:rFonts w:eastAsia="Times New Roman"/>
          <w:lang w:val="fr-FR"/>
        </w:rPr>
        <w:t>.  La Cour vient de constater, sous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angle de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article 1 du Protocole n</w:t>
      </w:r>
      <w:r w:rsidR="0055092B" w:rsidRPr="00203A00">
        <w:rPr>
          <w:rFonts w:eastAsia="Times New Roman"/>
          <w:vertAlign w:val="superscript"/>
          <w:lang w:val="fr-FR"/>
        </w:rPr>
        <w:t>o</w:t>
      </w:r>
      <w:r w:rsidRPr="00203A00">
        <w:rPr>
          <w:rFonts w:eastAsia="Times New Roman"/>
          <w:lang w:val="fr-FR"/>
        </w:rPr>
        <w:t> 1, que la situation dénoncée par les requérants n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est pas conforme au principe de légalité. Eu égard aux motifs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ayant amenée à ce constat de violation, la Cour estime qu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il n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y a pas lieu d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examiner séparément s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il y a eu, en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espèce, violation de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 xml:space="preserve">article 6 § 1 (voir </w:t>
      </w:r>
      <w:r w:rsidRPr="00203A00">
        <w:rPr>
          <w:rFonts w:eastAsia="Times New Roman"/>
          <w:i/>
          <w:lang w:val="fr-FR"/>
        </w:rPr>
        <w:t>Macrì et autres c.</w:t>
      </w:r>
      <w:r w:rsidR="00201EAC" w:rsidRPr="00203A00">
        <w:rPr>
          <w:rFonts w:eastAsia="Times New Roman"/>
          <w:i/>
          <w:lang w:val="fr-FR"/>
        </w:rPr>
        <w:t> </w:t>
      </w:r>
      <w:r w:rsidRPr="00203A00">
        <w:rPr>
          <w:rFonts w:eastAsia="Times New Roman"/>
          <w:i/>
          <w:lang w:val="fr-FR"/>
        </w:rPr>
        <w:t>Italie</w:t>
      </w:r>
      <w:r w:rsidRPr="00203A00">
        <w:rPr>
          <w:rFonts w:eastAsia="Times New Roman"/>
          <w:lang w:val="fr-FR"/>
        </w:rPr>
        <w:t>, n</w:t>
      </w:r>
      <w:r w:rsidR="0055092B" w:rsidRPr="00203A00">
        <w:rPr>
          <w:rFonts w:eastAsia="Times New Roman"/>
          <w:vertAlign w:val="superscript"/>
          <w:lang w:val="fr-FR"/>
        </w:rPr>
        <w:t>o</w:t>
      </w:r>
      <w:r w:rsidRPr="00203A00">
        <w:rPr>
          <w:rFonts w:eastAsia="Times New Roman"/>
          <w:lang w:val="fr-FR"/>
        </w:rPr>
        <w:t xml:space="preserve"> 14130/02, § 49, 12 juillet 2011; </w:t>
      </w:r>
      <w:r w:rsidRPr="00203A00">
        <w:rPr>
          <w:rFonts w:eastAsia="Times New Roman"/>
          <w:i/>
          <w:lang w:val="fr-FR"/>
        </w:rPr>
        <w:t>Rivera et di Bonaventura c.</w:t>
      </w:r>
      <w:r w:rsidR="00201EAC" w:rsidRPr="00203A00">
        <w:rPr>
          <w:rFonts w:eastAsia="Times New Roman"/>
          <w:i/>
          <w:lang w:val="fr-FR"/>
        </w:rPr>
        <w:t> </w:t>
      </w:r>
      <w:r w:rsidRPr="00203A00">
        <w:rPr>
          <w:rFonts w:eastAsia="Times New Roman"/>
          <w:i/>
          <w:lang w:val="fr-FR"/>
        </w:rPr>
        <w:t xml:space="preserve">Italie, </w:t>
      </w:r>
      <w:r w:rsidRPr="00203A00">
        <w:rPr>
          <w:rFonts w:eastAsia="Times New Roman"/>
          <w:lang w:val="fr-FR"/>
        </w:rPr>
        <w:t>n</w:t>
      </w:r>
      <w:r w:rsidR="0055092B" w:rsidRPr="00203A00">
        <w:rPr>
          <w:rFonts w:eastAsia="Times New Roman"/>
          <w:vertAlign w:val="superscript"/>
          <w:lang w:val="fr-FR"/>
        </w:rPr>
        <w:t>o</w:t>
      </w:r>
      <w:r w:rsidRPr="00203A00">
        <w:rPr>
          <w:rFonts w:eastAsia="Times New Roman"/>
          <w:lang w:val="fr-FR"/>
        </w:rPr>
        <w:t> 63869/00, § 30,  14 juin 2011).</w:t>
      </w:r>
    </w:p>
    <w:p w:rsidR="00EC6427" w:rsidRPr="00685582" w:rsidRDefault="002927CA">
      <w:pPr>
        <w:pStyle w:val="ECHRHeading1"/>
      </w:pPr>
      <w:r>
        <w:t>III</w:t>
      </w:r>
      <w:r w:rsidR="00EC6427" w:rsidRPr="00685582">
        <w:t>.  SUR L</w:t>
      </w:r>
      <w:r w:rsidR="00203A00">
        <w:t>’</w:t>
      </w:r>
      <w:r w:rsidR="00EC6427" w:rsidRPr="00685582">
        <w:t>APPLICATION DE L</w:t>
      </w:r>
      <w:r w:rsidR="00203A00">
        <w:t>’</w:t>
      </w:r>
      <w:r w:rsidR="00EC6427" w:rsidRPr="00685582">
        <w:t>ARTICLE 41 DE LA CONVENTION</w:t>
      </w:r>
    </w:p>
    <w:p w:rsidR="00EC6427" w:rsidRPr="00203A00" w:rsidRDefault="00203A00" w:rsidP="00B33C50">
      <w:pPr>
        <w:pStyle w:val="ECHRPara"/>
        <w:keepNext/>
        <w:keepLines/>
        <w:outlineLvl w:val="0"/>
        <w:rPr>
          <w:lang w:val="fr-FR"/>
        </w:rPr>
      </w:pPr>
      <w:r>
        <w:fldChar w:fldCharType="begin"/>
      </w:r>
      <w:r w:rsidRPr="00203A00">
        <w:rPr>
          <w:lang w:val="fr-FR"/>
        </w:rPr>
        <w:instrText xml:space="preserve"> SEQ level0 \*arabic </w:instrText>
      </w:r>
      <w:r>
        <w:fldChar w:fldCharType="separate"/>
      </w:r>
      <w:r w:rsidR="009E7656">
        <w:rPr>
          <w:noProof/>
          <w:lang w:val="fr-FR"/>
        </w:rPr>
        <w:t>29</w:t>
      </w:r>
      <w:r>
        <w:rPr>
          <w:noProof/>
        </w:rPr>
        <w:fldChar w:fldCharType="end"/>
      </w:r>
      <w:r w:rsidR="00EC6427" w:rsidRPr="00203A00">
        <w:rPr>
          <w:lang w:val="fr-FR"/>
        </w:rPr>
        <w:t>.  Aux termes de l</w:t>
      </w:r>
      <w:r>
        <w:rPr>
          <w:lang w:val="fr-FR"/>
        </w:rPr>
        <w:t>’</w:t>
      </w:r>
      <w:r w:rsidR="00EC6427" w:rsidRPr="00203A00">
        <w:rPr>
          <w:lang w:val="fr-FR"/>
        </w:rPr>
        <w:t>article 41 de la Convention,</w:t>
      </w:r>
    </w:p>
    <w:p w:rsidR="00EC6427" w:rsidRPr="00685582" w:rsidRDefault="00EC6427" w:rsidP="00BB0A56">
      <w:pPr>
        <w:pStyle w:val="ECHRParaQuote"/>
      </w:pPr>
      <w:r w:rsidRPr="00685582">
        <w:t>« Si la Cour déclare qu</w:t>
      </w:r>
      <w:r w:rsidR="00203A00">
        <w:t>’</w:t>
      </w:r>
      <w:r w:rsidRPr="00685582">
        <w:t>il y a eu violation de la Convention ou de ses Protocoles, et si le droit interne de la Haute Partie contractante ne permet d</w:t>
      </w:r>
      <w:r w:rsidR="00203A00">
        <w:t>’</w:t>
      </w:r>
      <w:r w:rsidRPr="00685582">
        <w:t>effacer qu</w:t>
      </w:r>
      <w:r w:rsidR="00203A00">
        <w:t>’</w:t>
      </w:r>
      <w:r w:rsidRPr="00685582">
        <w:t>imparfaitement les conséquences de cette violation, la Cour accorde à la partie lésée, s</w:t>
      </w:r>
      <w:r w:rsidR="00203A00">
        <w:t>’</w:t>
      </w:r>
      <w:r w:rsidRPr="00685582">
        <w:t>il y a lieu, une satisfaction équitable. »</w:t>
      </w:r>
    </w:p>
    <w:p w:rsidR="005F3FA1" w:rsidRPr="004977D0" w:rsidRDefault="005F3FA1" w:rsidP="005F3FA1">
      <w:pPr>
        <w:pStyle w:val="ECHRHeading2"/>
        <w:outlineLvl w:val="0"/>
      </w:pPr>
      <w:r w:rsidRPr="004977D0">
        <w:t>A.  Dommage</w:t>
      </w:r>
      <w:r>
        <w:t xml:space="preserve"> matériel</w:t>
      </w:r>
    </w:p>
    <w:p w:rsidR="005F3FA1" w:rsidRPr="00203A00" w:rsidRDefault="00203A00" w:rsidP="00BB0A56">
      <w:pPr>
        <w:pStyle w:val="ECHRPara"/>
        <w:rPr>
          <w:lang w:val="fr-FR"/>
        </w:rPr>
      </w:pPr>
      <w:r>
        <w:fldChar w:fldCharType="begin"/>
      </w:r>
      <w:r w:rsidRPr="00203A00">
        <w:rPr>
          <w:lang w:val="fr-FR"/>
        </w:rPr>
        <w:instrText xml:space="preserve"> SEQ level0 \*arabic </w:instrText>
      </w:r>
      <w:r>
        <w:fldChar w:fldCharType="separate"/>
      </w:r>
      <w:r w:rsidR="009E7656">
        <w:rPr>
          <w:noProof/>
          <w:lang w:val="fr-FR"/>
        </w:rPr>
        <w:t>30</w:t>
      </w:r>
      <w:r>
        <w:rPr>
          <w:noProof/>
        </w:rPr>
        <w:fldChar w:fldCharType="end"/>
      </w:r>
      <w:r w:rsidR="005F3FA1" w:rsidRPr="00203A00">
        <w:rPr>
          <w:lang w:val="fr-FR"/>
        </w:rPr>
        <w:t>.  Les requérants sollicitent une somme correspondant à la différence entre la valeur vénale du terrain et le montant du dédommagement accordé au niveau national, à réévaluer et à majorer des intérêts. En 2005, ils chiffraient leurs prétentions à 167 528,26 EUR.</w:t>
      </w:r>
    </w:p>
    <w:p w:rsidR="005F3FA1" w:rsidRPr="00203A00" w:rsidRDefault="00203A00" w:rsidP="005F3FA1">
      <w:pPr>
        <w:pStyle w:val="ECHRPara"/>
        <w:outlineLvl w:val="0"/>
        <w:rPr>
          <w:lang w:val="fr-FR"/>
        </w:rPr>
      </w:pPr>
      <w:r>
        <w:fldChar w:fldCharType="begin"/>
      </w:r>
      <w:r w:rsidRPr="00203A00">
        <w:rPr>
          <w:lang w:val="fr-FR"/>
        </w:rPr>
        <w:instrText xml:space="preserve"> SEQ level0 \*arabic </w:instrText>
      </w:r>
      <w:r>
        <w:fldChar w:fldCharType="separate"/>
      </w:r>
      <w:r w:rsidR="009E7656">
        <w:rPr>
          <w:noProof/>
          <w:lang w:val="fr-FR"/>
        </w:rPr>
        <w:t>31</w:t>
      </w:r>
      <w:r>
        <w:rPr>
          <w:noProof/>
        </w:rPr>
        <w:fldChar w:fldCharType="end"/>
      </w:r>
      <w:r w:rsidR="005F3FA1" w:rsidRPr="00203A00">
        <w:rPr>
          <w:lang w:val="fr-FR"/>
        </w:rPr>
        <w:t>.  Le Gouvernement s</w:t>
      </w:r>
      <w:r>
        <w:rPr>
          <w:lang w:val="fr-FR"/>
        </w:rPr>
        <w:t>’</w:t>
      </w:r>
      <w:r w:rsidR="005F3FA1" w:rsidRPr="00203A00">
        <w:rPr>
          <w:lang w:val="fr-FR"/>
        </w:rPr>
        <w:t>y oppose.</w:t>
      </w:r>
    </w:p>
    <w:p w:rsidR="00041983" w:rsidRPr="00203A00" w:rsidRDefault="00041983" w:rsidP="00A77793">
      <w:pPr>
        <w:pStyle w:val="ECHRPara"/>
        <w:rPr>
          <w:rFonts w:eastAsia="Times New Roman"/>
          <w:lang w:val="fr-FR"/>
        </w:rPr>
      </w:pPr>
      <w:r>
        <w:rPr>
          <w:rFonts w:eastAsia="Times New Roman"/>
        </w:rPr>
        <w:fldChar w:fldCharType="begin"/>
      </w:r>
      <w:r w:rsidRPr="00203A00">
        <w:rPr>
          <w:rFonts w:eastAsia="Times New Roman"/>
          <w:lang w:val="fr-FR"/>
        </w:rPr>
        <w:instrText xml:space="preserve"> SEQ level0 \*arabic </w:instrText>
      </w:r>
      <w:r>
        <w:rPr>
          <w:rFonts w:eastAsia="Times New Roman"/>
        </w:rPr>
        <w:fldChar w:fldCharType="separate"/>
      </w:r>
      <w:r w:rsidR="009E7656">
        <w:rPr>
          <w:rFonts w:eastAsia="Times New Roman"/>
          <w:noProof/>
          <w:lang w:val="fr-FR"/>
        </w:rPr>
        <w:t>32</w:t>
      </w:r>
      <w:r>
        <w:rPr>
          <w:rFonts w:eastAsia="Times New Roman"/>
        </w:rPr>
        <w:fldChar w:fldCharType="end"/>
      </w:r>
      <w:r w:rsidRPr="00203A00">
        <w:rPr>
          <w:rFonts w:eastAsia="Times New Roman"/>
          <w:lang w:val="fr-FR"/>
        </w:rPr>
        <w:t>.  La Cour rappelle qu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un arrêt constatant une violation entraîne pour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État défendeur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obligation de mettre un terme à la violation et d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en effacer les conséquences de manière à rétablir autant que faire se peut la situation antérieure à celle-ci (</w:t>
      </w:r>
      <w:r w:rsidRPr="00203A00">
        <w:rPr>
          <w:rFonts w:eastAsia="Times New Roman"/>
          <w:i/>
          <w:iCs/>
          <w:lang w:val="fr-FR"/>
        </w:rPr>
        <w:t>Iatridis c. Grèce</w:t>
      </w:r>
      <w:r w:rsidRPr="00203A00">
        <w:rPr>
          <w:rFonts w:eastAsia="Times New Roman"/>
          <w:lang w:val="fr-FR"/>
        </w:rPr>
        <w:t xml:space="preserve"> (satisfaction équitable) [GC], n</w:t>
      </w:r>
      <w:r w:rsidR="0006561E" w:rsidRPr="00203A00">
        <w:rPr>
          <w:rFonts w:eastAsia="Times New Roman"/>
          <w:vertAlign w:val="superscript"/>
          <w:lang w:val="fr-FR"/>
        </w:rPr>
        <w:t>o</w:t>
      </w:r>
      <w:r w:rsidRPr="00203A00">
        <w:rPr>
          <w:rFonts w:eastAsia="Times New Roman"/>
          <w:lang w:val="fr-FR"/>
        </w:rPr>
        <w:t> 31107/96, § 32, CEDH 2000-XI).</w:t>
      </w:r>
    </w:p>
    <w:p w:rsidR="00BD6B61" w:rsidRPr="00203A00" w:rsidRDefault="00041983" w:rsidP="00A77793">
      <w:pPr>
        <w:pStyle w:val="ECHRPara"/>
        <w:rPr>
          <w:rFonts w:eastAsia="Times New Roman"/>
          <w:szCs w:val="20"/>
          <w:lang w:val="fr-FR"/>
        </w:rPr>
      </w:pPr>
      <w:r w:rsidRPr="00041983">
        <w:rPr>
          <w:rFonts w:eastAsia="Times New Roman"/>
        </w:rPr>
        <w:fldChar w:fldCharType="begin"/>
      </w:r>
      <w:r w:rsidRPr="00203A00">
        <w:rPr>
          <w:rFonts w:eastAsia="Times New Roman"/>
          <w:lang w:val="fr-FR"/>
        </w:rPr>
        <w:instrText xml:space="preserve"> SEQ level0 \*arabic </w:instrText>
      </w:r>
      <w:r w:rsidRPr="00041983">
        <w:rPr>
          <w:rFonts w:eastAsia="Times New Roman"/>
        </w:rPr>
        <w:fldChar w:fldCharType="separate"/>
      </w:r>
      <w:r w:rsidR="009E7656">
        <w:rPr>
          <w:rFonts w:eastAsia="Times New Roman"/>
          <w:noProof/>
          <w:lang w:val="fr-FR"/>
        </w:rPr>
        <w:t>33</w:t>
      </w:r>
      <w:r w:rsidRPr="00041983">
        <w:rPr>
          <w:rFonts w:eastAsia="Times New Roman"/>
        </w:rPr>
        <w:fldChar w:fldCharType="end"/>
      </w:r>
      <w:r w:rsidRPr="00203A00">
        <w:rPr>
          <w:rFonts w:eastAsia="Times New Roman"/>
          <w:lang w:val="fr-FR"/>
        </w:rPr>
        <w:t>.  Elle rappelle que dans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 xml:space="preserve">affaire </w:t>
      </w:r>
      <w:r w:rsidRPr="00203A00">
        <w:rPr>
          <w:rFonts w:eastAsia="Times New Roman"/>
          <w:i/>
          <w:iCs/>
          <w:lang w:val="fr-FR"/>
        </w:rPr>
        <w:t>Guiso-Gallisay c. Italie</w:t>
      </w:r>
      <w:r w:rsidRPr="00203A00">
        <w:rPr>
          <w:rFonts w:eastAsia="Times New Roman"/>
          <w:lang w:val="fr-FR"/>
        </w:rPr>
        <w:t xml:space="preserve"> (satisfaction équitable) [GC], nº 58858/00, 22 décembre 2009, la Grande Chambre a modifié la jurisprudence de la Cour concernant les critères d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indemnisation dans les affaires d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expropriation indirecte. En particulier, elle a décidé d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écarter les prétentions des requérants dans la mesure où elles sont fondées sur la valeur des terrains à la date de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 xml:space="preserve">arrêt de la Cour et de ne plus tenir </w:t>
      </w:r>
      <w:r w:rsidRPr="00203A00">
        <w:rPr>
          <w:rFonts w:eastAsia="Times New Roman"/>
          <w:szCs w:val="20"/>
          <w:lang w:val="fr-FR"/>
        </w:rPr>
        <w:t>compte, pour évaluer le dommage matériel, du coût de construction des immeubles bâtis par l</w:t>
      </w:r>
      <w:r w:rsidR="00203A00">
        <w:rPr>
          <w:rFonts w:eastAsia="Times New Roman"/>
          <w:szCs w:val="20"/>
          <w:lang w:val="fr-FR"/>
        </w:rPr>
        <w:t>’</w:t>
      </w:r>
      <w:r w:rsidRPr="00203A00">
        <w:rPr>
          <w:rFonts w:eastAsia="Times New Roman"/>
          <w:szCs w:val="20"/>
          <w:lang w:val="fr-FR"/>
        </w:rPr>
        <w:t>État sur les terrains.</w:t>
      </w:r>
    </w:p>
    <w:p w:rsidR="00041983" w:rsidRPr="00203A00" w:rsidRDefault="00041983" w:rsidP="00A77793">
      <w:pPr>
        <w:pStyle w:val="ECHRPara"/>
        <w:rPr>
          <w:rFonts w:eastAsia="Times New Roman"/>
          <w:lang w:val="fr-FR"/>
        </w:rPr>
      </w:pPr>
      <w:r w:rsidRPr="00041983">
        <w:rPr>
          <w:rFonts w:eastAsia="Times New Roman"/>
        </w:rPr>
        <w:fldChar w:fldCharType="begin"/>
      </w:r>
      <w:r w:rsidRPr="00203A00">
        <w:rPr>
          <w:rFonts w:eastAsia="Times New Roman"/>
          <w:lang w:val="fr-FR"/>
        </w:rPr>
        <w:instrText xml:space="preserve"> SEQ level0 \*arabic </w:instrText>
      </w:r>
      <w:r w:rsidRPr="00041983">
        <w:rPr>
          <w:rFonts w:eastAsia="Times New Roman"/>
        </w:rPr>
        <w:fldChar w:fldCharType="separate"/>
      </w:r>
      <w:r w:rsidR="009E7656">
        <w:rPr>
          <w:rFonts w:eastAsia="Times New Roman"/>
          <w:noProof/>
          <w:lang w:val="fr-FR"/>
        </w:rPr>
        <w:t>34</w:t>
      </w:r>
      <w:r w:rsidRPr="00041983">
        <w:rPr>
          <w:rFonts w:eastAsia="Times New Roman"/>
        </w:rPr>
        <w:fldChar w:fldCharType="end"/>
      </w:r>
      <w:r w:rsidRPr="00203A00">
        <w:rPr>
          <w:rFonts w:eastAsia="Times New Roman"/>
          <w:lang w:val="fr-FR"/>
        </w:rPr>
        <w:t>.  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indemnisation doit donc correspondre à la valeur pleine et entière du terrain au moment de la perte de la propriété, telle qu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établie par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expertise ordonnée par la juridiction compétente au cours de la procédure interne. Ensuite, une fois que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on aura déduit la somme éventuellement octroyée au niveau national, ce montant doit être actualisé pour compenser les effets de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inflation. Il convient aussi de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assortir d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intérêts susceptibles de compenser, au moins en partie, le long laps de temps qui s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est écoulé depuis la dépossession des terrains.</w:t>
      </w:r>
    </w:p>
    <w:p w:rsidR="00041983" w:rsidRPr="00203A00" w:rsidRDefault="00041983" w:rsidP="00A77793">
      <w:pPr>
        <w:pStyle w:val="ECHRPara"/>
        <w:rPr>
          <w:rFonts w:eastAsia="Times New Roman"/>
          <w:lang w:val="fr-FR"/>
        </w:rPr>
      </w:pPr>
      <w:r w:rsidRPr="00041983">
        <w:rPr>
          <w:rFonts w:eastAsia="Times New Roman"/>
        </w:rPr>
        <w:fldChar w:fldCharType="begin"/>
      </w:r>
      <w:r w:rsidRPr="00203A00">
        <w:rPr>
          <w:rFonts w:eastAsia="Times New Roman"/>
          <w:lang w:val="fr-FR"/>
        </w:rPr>
        <w:instrText xml:space="preserve"> SEQ level0 \*arabic </w:instrText>
      </w:r>
      <w:r w:rsidRPr="00041983">
        <w:rPr>
          <w:rFonts w:eastAsia="Times New Roman"/>
        </w:rPr>
        <w:fldChar w:fldCharType="separate"/>
      </w:r>
      <w:r w:rsidR="009E7656">
        <w:rPr>
          <w:rFonts w:eastAsia="Times New Roman"/>
          <w:noProof/>
          <w:lang w:val="fr-FR"/>
        </w:rPr>
        <w:t>35</w:t>
      </w:r>
      <w:r w:rsidRPr="00041983">
        <w:rPr>
          <w:rFonts w:eastAsia="Times New Roman"/>
        </w:rPr>
        <w:fldChar w:fldCharType="end"/>
      </w:r>
      <w:r w:rsidRPr="00203A00">
        <w:rPr>
          <w:rFonts w:eastAsia="Times New Roman"/>
          <w:lang w:val="fr-FR"/>
        </w:rPr>
        <w:t>.  En l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>espèce, les requérants, d</w:t>
      </w:r>
      <w:r w:rsidR="00203A00">
        <w:rPr>
          <w:rFonts w:eastAsia="Times New Roman"/>
          <w:lang w:val="fr-FR"/>
        </w:rPr>
        <w:t>’</w:t>
      </w:r>
      <w:r w:rsidRPr="00203A00">
        <w:rPr>
          <w:rFonts w:eastAsia="Times New Roman"/>
          <w:lang w:val="fr-FR"/>
        </w:rPr>
        <w:t xml:space="preserve">après les juridictions nationales, ont perdu la propriété de leur terrain le </w:t>
      </w:r>
      <w:r w:rsidR="007E49CC" w:rsidRPr="00203A00">
        <w:rPr>
          <w:rFonts w:eastAsia="Times New Roman"/>
          <w:lang w:val="fr-FR"/>
        </w:rPr>
        <w:t>5</w:t>
      </w:r>
      <w:r w:rsidRPr="00203A00">
        <w:rPr>
          <w:rFonts w:eastAsia="Times New Roman"/>
          <w:lang w:val="fr-FR"/>
        </w:rPr>
        <w:t xml:space="preserve"> </w:t>
      </w:r>
      <w:r w:rsidR="007E49CC" w:rsidRPr="00203A00">
        <w:rPr>
          <w:rFonts w:eastAsia="Times New Roman"/>
          <w:lang w:val="fr-FR"/>
        </w:rPr>
        <w:t>juin 1996</w:t>
      </w:r>
      <w:r w:rsidRPr="00203A00">
        <w:rPr>
          <w:rFonts w:eastAsia="Times New Roman"/>
          <w:lang w:val="fr-FR"/>
        </w:rPr>
        <w:t xml:space="preserve">. Il ressort </w:t>
      </w:r>
      <w:r w:rsidR="007E49CC" w:rsidRPr="00203A00">
        <w:rPr>
          <w:rFonts w:eastAsia="Times New Roman"/>
          <w:lang w:val="fr-FR"/>
        </w:rPr>
        <w:t>de l</w:t>
      </w:r>
      <w:r w:rsidR="00203A00">
        <w:rPr>
          <w:rFonts w:eastAsia="Times New Roman"/>
          <w:lang w:val="fr-FR"/>
        </w:rPr>
        <w:t>’</w:t>
      </w:r>
      <w:r w:rsidR="007E49CC" w:rsidRPr="00203A00">
        <w:rPr>
          <w:rFonts w:eastAsia="Times New Roman"/>
          <w:lang w:val="fr-FR"/>
        </w:rPr>
        <w:t>expertise déposée pendant la procédure devant le tribunal de Caltagirone</w:t>
      </w:r>
      <w:r w:rsidRPr="00203A00">
        <w:rPr>
          <w:rFonts w:eastAsia="Times New Roman"/>
          <w:lang w:val="fr-FR"/>
        </w:rPr>
        <w:t xml:space="preserve"> que la valeur du terrain à cette date étai</w:t>
      </w:r>
      <w:r w:rsidR="007E49CC" w:rsidRPr="00203A00">
        <w:rPr>
          <w:rFonts w:eastAsia="Times New Roman"/>
          <w:lang w:val="fr-FR"/>
        </w:rPr>
        <w:t>t d</w:t>
      </w:r>
      <w:r w:rsidR="00203A00">
        <w:rPr>
          <w:rFonts w:eastAsia="Times New Roman"/>
          <w:lang w:val="fr-FR"/>
        </w:rPr>
        <w:t>’</w:t>
      </w:r>
      <w:r w:rsidR="007E49CC" w:rsidRPr="00203A00">
        <w:rPr>
          <w:rFonts w:eastAsia="Times New Roman"/>
          <w:lang w:val="fr-FR"/>
        </w:rPr>
        <w:t>environ 224 907 EUR.</w:t>
      </w:r>
    </w:p>
    <w:p w:rsidR="00203A00" w:rsidRDefault="007E49CC" w:rsidP="00A77793">
      <w:pPr>
        <w:pStyle w:val="ECHRPara"/>
        <w:rPr>
          <w:rFonts w:eastAsia="Times New Roman"/>
          <w:lang w:val="fr-FR"/>
        </w:rPr>
      </w:pPr>
      <w:r w:rsidRPr="007E49CC">
        <w:rPr>
          <w:rFonts w:eastAsia="Times New Roman"/>
        </w:rPr>
        <w:fldChar w:fldCharType="begin"/>
      </w:r>
      <w:r w:rsidRPr="00203A00">
        <w:rPr>
          <w:rFonts w:eastAsia="Times New Roman"/>
          <w:lang w:val="fr-FR"/>
        </w:rPr>
        <w:instrText xml:space="preserve"> SEQ level0 \*arabic </w:instrText>
      </w:r>
      <w:r w:rsidRPr="007E49CC">
        <w:rPr>
          <w:rFonts w:eastAsia="Times New Roman"/>
        </w:rPr>
        <w:fldChar w:fldCharType="separate"/>
      </w:r>
      <w:r w:rsidR="009E7656">
        <w:rPr>
          <w:rFonts w:eastAsia="Times New Roman"/>
          <w:noProof/>
          <w:lang w:val="fr-FR"/>
        </w:rPr>
        <w:t>36</w:t>
      </w:r>
      <w:r w:rsidRPr="007E49CC">
        <w:rPr>
          <w:rFonts w:eastAsia="Times New Roman"/>
        </w:rPr>
        <w:fldChar w:fldCharType="end"/>
      </w:r>
      <w:r w:rsidRPr="00203A00">
        <w:rPr>
          <w:rFonts w:eastAsia="Times New Roman"/>
          <w:lang w:val="fr-FR"/>
        </w:rPr>
        <w:t>.  </w:t>
      </w:r>
      <w:r w:rsidR="00041983" w:rsidRPr="00203A00">
        <w:rPr>
          <w:rFonts w:eastAsia="Times New Roman"/>
          <w:lang w:val="fr-FR"/>
        </w:rPr>
        <w:t>Compte tenu de ces éléments et statuant en équité, la Cour estime raisonnable d</w:t>
      </w:r>
      <w:r w:rsidR="00203A00">
        <w:rPr>
          <w:rFonts w:eastAsia="Times New Roman"/>
          <w:lang w:val="fr-FR"/>
        </w:rPr>
        <w:t>’</w:t>
      </w:r>
      <w:r w:rsidR="00041983" w:rsidRPr="00203A00">
        <w:rPr>
          <w:rFonts w:eastAsia="Times New Roman"/>
          <w:lang w:val="fr-FR"/>
        </w:rPr>
        <w:t xml:space="preserve">accorder conjointement aux requérants, à diviser selon la quote-part de chacun, </w:t>
      </w:r>
      <w:r w:rsidRPr="00203A00">
        <w:rPr>
          <w:rFonts w:eastAsia="Times New Roman"/>
          <w:lang w:val="fr-FR"/>
        </w:rPr>
        <w:t>112 5</w:t>
      </w:r>
      <w:r w:rsidR="00820025" w:rsidRPr="00203A00">
        <w:rPr>
          <w:rFonts w:eastAsia="Times New Roman"/>
          <w:lang w:val="fr-FR"/>
        </w:rPr>
        <w:t>00</w:t>
      </w:r>
      <w:r w:rsidR="00041983" w:rsidRPr="00203A00">
        <w:rPr>
          <w:rFonts w:eastAsia="Times New Roman"/>
          <w:lang w:val="fr-FR"/>
        </w:rPr>
        <w:t xml:space="preserve"> EUR pour le préjudice matériel, plus tout montant pouvant être dû à titre d</w:t>
      </w:r>
      <w:r w:rsidR="00203A00">
        <w:rPr>
          <w:rFonts w:eastAsia="Times New Roman"/>
          <w:lang w:val="fr-FR"/>
        </w:rPr>
        <w:t>’</w:t>
      </w:r>
      <w:r w:rsidR="00041983" w:rsidRPr="00203A00">
        <w:rPr>
          <w:rFonts w:eastAsia="Times New Roman"/>
          <w:lang w:val="fr-FR"/>
        </w:rPr>
        <w:t>impôt sur cette somme.</w:t>
      </w:r>
    </w:p>
    <w:p w:rsidR="00041983" w:rsidRDefault="00041983" w:rsidP="00041983">
      <w:pPr>
        <w:pStyle w:val="ECHRHeading2"/>
        <w:outlineLvl w:val="0"/>
      </w:pPr>
      <w:r>
        <w:t>B</w:t>
      </w:r>
      <w:r w:rsidRPr="004977D0">
        <w:t>.  Dommage</w:t>
      </w:r>
      <w:r>
        <w:t xml:space="preserve"> moral</w:t>
      </w:r>
    </w:p>
    <w:p w:rsidR="00041983" w:rsidRPr="00203A00" w:rsidRDefault="00203A00" w:rsidP="00041983">
      <w:pPr>
        <w:pStyle w:val="ECHRPara"/>
        <w:rPr>
          <w:lang w:val="fr-FR"/>
        </w:rPr>
      </w:pPr>
      <w:r>
        <w:fldChar w:fldCharType="begin"/>
      </w:r>
      <w:r w:rsidRPr="00203A00">
        <w:rPr>
          <w:lang w:val="fr-FR"/>
        </w:rPr>
        <w:instrText xml:space="preserve"> SEQ level0 \*arabic </w:instrText>
      </w:r>
      <w:r>
        <w:fldChar w:fldCharType="separate"/>
      </w:r>
      <w:r w:rsidR="009E7656">
        <w:rPr>
          <w:noProof/>
          <w:lang w:val="fr-FR"/>
        </w:rPr>
        <w:t>37</w:t>
      </w:r>
      <w:r>
        <w:rPr>
          <w:noProof/>
        </w:rPr>
        <w:fldChar w:fldCharType="end"/>
      </w:r>
      <w:r w:rsidR="007E49CC" w:rsidRPr="00203A00">
        <w:rPr>
          <w:lang w:val="fr-FR"/>
        </w:rPr>
        <w:t>.  </w:t>
      </w:r>
      <w:r w:rsidR="00041983" w:rsidRPr="00203A00">
        <w:rPr>
          <w:lang w:val="fr-FR"/>
        </w:rPr>
        <w:t>Les requérants demandent 40 000 EUR chacun</w:t>
      </w:r>
      <w:r w:rsidR="00171757" w:rsidRPr="00203A00">
        <w:rPr>
          <w:lang w:val="fr-FR"/>
        </w:rPr>
        <w:t>.</w:t>
      </w:r>
    </w:p>
    <w:p w:rsidR="00041983" w:rsidRPr="00203A00" w:rsidRDefault="00203A00" w:rsidP="00041983">
      <w:pPr>
        <w:pStyle w:val="ECHRPara"/>
        <w:rPr>
          <w:lang w:val="fr-FR"/>
        </w:rPr>
      </w:pPr>
      <w:r>
        <w:fldChar w:fldCharType="begin"/>
      </w:r>
      <w:r w:rsidRPr="00203A00">
        <w:rPr>
          <w:lang w:val="fr-FR"/>
        </w:rPr>
        <w:instrText xml:space="preserve"> SEQ level0 \*arabic </w:instrText>
      </w:r>
      <w:r>
        <w:fldChar w:fldCharType="separate"/>
      </w:r>
      <w:r w:rsidR="009E7656">
        <w:rPr>
          <w:noProof/>
          <w:lang w:val="fr-FR"/>
        </w:rPr>
        <w:t>38</w:t>
      </w:r>
      <w:r>
        <w:rPr>
          <w:noProof/>
        </w:rPr>
        <w:fldChar w:fldCharType="end"/>
      </w:r>
      <w:r w:rsidR="00041983" w:rsidRPr="00203A00">
        <w:rPr>
          <w:lang w:val="fr-FR"/>
        </w:rPr>
        <w:t>.  Le Gouvernement s</w:t>
      </w:r>
      <w:r>
        <w:rPr>
          <w:lang w:val="fr-FR"/>
        </w:rPr>
        <w:t>’</w:t>
      </w:r>
      <w:r w:rsidR="00041983" w:rsidRPr="00203A00">
        <w:rPr>
          <w:lang w:val="fr-FR"/>
        </w:rPr>
        <w:t>y oppose.</w:t>
      </w:r>
    </w:p>
    <w:p w:rsidR="00203A00" w:rsidRDefault="00203A00" w:rsidP="00041983">
      <w:pPr>
        <w:pStyle w:val="ECHRPara"/>
        <w:rPr>
          <w:lang w:val="fr-FR"/>
        </w:rPr>
      </w:pPr>
      <w:r>
        <w:fldChar w:fldCharType="begin"/>
      </w:r>
      <w:r w:rsidRPr="00203A00">
        <w:rPr>
          <w:lang w:val="fr-FR"/>
        </w:rPr>
        <w:instrText xml:space="preserve"> SEQ level0 \*arabic </w:instrText>
      </w:r>
      <w:r>
        <w:fldChar w:fldCharType="separate"/>
      </w:r>
      <w:r w:rsidR="009E7656">
        <w:rPr>
          <w:noProof/>
          <w:lang w:val="fr-FR"/>
        </w:rPr>
        <w:t>39</w:t>
      </w:r>
      <w:r>
        <w:rPr>
          <w:noProof/>
        </w:rPr>
        <w:fldChar w:fldCharType="end"/>
      </w:r>
      <w:r w:rsidR="00041983" w:rsidRPr="00203A00">
        <w:rPr>
          <w:lang w:val="fr-FR"/>
        </w:rPr>
        <w:t>.  La Cour estime que le sentiment d</w:t>
      </w:r>
      <w:r>
        <w:rPr>
          <w:lang w:val="fr-FR"/>
        </w:rPr>
        <w:t>’</w:t>
      </w:r>
      <w:r w:rsidR="00041983" w:rsidRPr="00203A00">
        <w:rPr>
          <w:lang w:val="fr-FR"/>
        </w:rPr>
        <w:t>impuissance et de frustration face à la dépossession illégale de leur bien a causé aux requérants un préjudice moral important qu</w:t>
      </w:r>
      <w:r>
        <w:rPr>
          <w:lang w:val="fr-FR"/>
        </w:rPr>
        <w:t>’</w:t>
      </w:r>
      <w:r w:rsidR="00041983" w:rsidRPr="00203A00">
        <w:rPr>
          <w:lang w:val="fr-FR"/>
        </w:rPr>
        <w:t>il y a lieu de réparer de manière adéquate.</w:t>
      </w:r>
    </w:p>
    <w:p w:rsidR="00041983" w:rsidRPr="00203A00" w:rsidRDefault="00203A00" w:rsidP="00041983">
      <w:pPr>
        <w:pStyle w:val="ECHRPara"/>
        <w:rPr>
          <w:lang w:val="fr-FR"/>
        </w:rPr>
      </w:pPr>
      <w:r>
        <w:fldChar w:fldCharType="begin"/>
      </w:r>
      <w:r w:rsidRPr="00203A00">
        <w:rPr>
          <w:lang w:val="fr-FR"/>
        </w:rPr>
        <w:instrText xml:space="preserve"> SEQ level0 \*arabic </w:instrText>
      </w:r>
      <w:r>
        <w:fldChar w:fldCharType="separate"/>
      </w:r>
      <w:r w:rsidR="009E7656">
        <w:rPr>
          <w:noProof/>
          <w:lang w:val="fr-FR"/>
        </w:rPr>
        <w:t>40</w:t>
      </w:r>
      <w:r>
        <w:rPr>
          <w:noProof/>
        </w:rPr>
        <w:fldChar w:fldCharType="end"/>
      </w:r>
      <w:r w:rsidR="00041983" w:rsidRPr="00203A00">
        <w:rPr>
          <w:lang w:val="fr-FR"/>
        </w:rPr>
        <w:t xml:space="preserve">.  Conformément à la jurisprudence </w:t>
      </w:r>
      <w:r w:rsidR="00041983" w:rsidRPr="00203A00">
        <w:rPr>
          <w:i/>
          <w:lang w:val="fr-FR"/>
        </w:rPr>
        <w:t xml:space="preserve">Guiso-Gallisay c. Italie </w:t>
      </w:r>
      <w:r w:rsidR="00041983" w:rsidRPr="00203A00">
        <w:rPr>
          <w:lang w:val="fr-FR"/>
        </w:rPr>
        <w:t>(</w:t>
      </w:r>
      <w:r w:rsidR="00041983" w:rsidRPr="00203A00">
        <w:rPr>
          <w:szCs w:val="24"/>
          <w:lang w:val="fr-FR" w:eastAsia="en-GB"/>
        </w:rPr>
        <w:t>précité)</w:t>
      </w:r>
      <w:r w:rsidR="00041983" w:rsidRPr="00203A00">
        <w:rPr>
          <w:lang w:val="fr-FR"/>
        </w:rPr>
        <w:t xml:space="preserve"> et statuant en équité, la Cour alloue conjointement aux requérants 10</w:t>
      </w:r>
      <w:r w:rsidR="00201EAC" w:rsidRPr="00203A00">
        <w:rPr>
          <w:lang w:val="fr-FR"/>
        </w:rPr>
        <w:t> </w:t>
      </w:r>
      <w:r w:rsidR="00041983" w:rsidRPr="00203A00">
        <w:rPr>
          <w:lang w:val="fr-FR"/>
        </w:rPr>
        <w:t>000</w:t>
      </w:r>
      <w:r w:rsidR="00201EAC" w:rsidRPr="00203A00">
        <w:rPr>
          <w:lang w:val="fr-FR"/>
        </w:rPr>
        <w:t> </w:t>
      </w:r>
      <w:r w:rsidR="00041983" w:rsidRPr="00203A00">
        <w:rPr>
          <w:lang w:val="fr-FR"/>
        </w:rPr>
        <w:t>EUR à titre de dommage moral.</w:t>
      </w:r>
    </w:p>
    <w:p w:rsidR="00041983" w:rsidRPr="004977D0" w:rsidRDefault="00041983" w:rsidP="00041983">
      <w:pPr>
        <w:pStyle w:val="ECHRHeading2"/>
        <w:outlineLvl w:val="0"/>
      </w:pPr>
      <w:r>
        <w:t>C</w:t>
      </w:r>
      <w:r w:rsidRPr="004977D0">
        <w:t>.  Frais et dépens</w:t>
      </w:r>
    </w:p>
    <w:p w:rsidR="00203A00" w:rsidRDefault="00203A00" w:rsidP="00041983">
      <w:pPr>
        <w:pStyle w:val="ECHRPara"/>
        <w:rPr>
          <w:lang w:val="fr-FR"/>
        </w:rPr>
      </w:pPr>
      <w:r>
        <w:fldChar w:fldCharType="begin"/>
      </w:r>
      <w:r w:rsidRPr="00203A00">
        <w:rPr>
          <w:lang w:val="fr-FR"/>
        </w:rPr>
        <w:instrText xml:space="preserve"> SEQ level0 \*arabic </w:instrText>
      </w:r>
      <w:r>
        <w:fldChar w:fldCharType="separate"/>
      </w:r>
      <w:r w:rsidR="009E7656">
        <w:rPr>
          <w:noProof/>
          <w:lang w:val="fr-FR"/>
        </w:rPr>
        <w:t>41</w:t>
      </w:r>
      <w:r>
        <w:rPr>
          <w:noProof/>
        </w:rPr>
        <w:fldChar w:fldCharType="end"/>
      </w:r>
      <w:r w:rsidR="00041983" w:rsidRPr="00203A00">
        <w:rPr>
          <w:lang w:val="fr-FR"/>
        </w:rPr>
        <w:t>.  Les requérants demandent également 28 672,03 pour les frais et dépens engagés devant la Cour.</w:t>
      </w:r>
    </w:p>
    <w:p w:rsidR="00041983" w:rsidRPr="00203A00" w:rsidRDefault="00203A00" w:rsidP="00041983">
      <w:pPr>
        <w:pStyle w:val="ECHRPara"/>
        <w:outlineLvl w:val="0"/>
        <w:rPr>
          <w:lang w:val="fr-FR"/>
        </w:rPr>
      </w:pPr>
      <w:r>
        <w:fldChar w:fldCharType="begin"/>
      </w:r>
      <w:r w:rsidRPr="00203A00">
        <w:rPr>
          <w:lang w:val="fr-FR"/>
        </w:rPr>
        <w:instrText xml:space="preserve"> SEQ level0 \*arabic </w:instrText>
      </w:r>
      <w:r>
        <w:fldChar w:fldCharType="separate"/>
      </w:r>
      <w:r w:rsidR="009E7656">
        <w:rPr>
          <w:noProof/>
          <w:lang w:val="fr-FR"/>
        </w:rPr>
        <w:t>42</w:t>
      </w:r>
      <w:r>
        <w:rPr>
          <w:noProof/>
        </w:rPr>
        <w:fldChar w:fldCharType="end"/>
      </w:r>
      <w:r w:rsidR="00041983" w:rsidRPr="00203A00">
        <w:rPr>
          <w:lang w:val="fr-FR"/>
        </w:rPr>
        <w:t>.  Le Gouvernement s</w:t>
      </w:r>
      <w:r>
        <w:rPr>
          <w:lang w:val="fr-FR"/>
        </w:rPr>
        <w:t>’</w:t>
      </w:r>
      <w:r w:rsidR="00041983" w:rsidRPr="00203A00">
        <w:rPr>
          <w:lang w:val="fr-FR"/>
        </w:rPr>
        <w:t>y oppose et fait valoir que les sommes réclamées sont excessives.</w:t>
      </w:r>
    </w:p>
    <w:p w:rsidR="00041983" w:rsidRPr="00203A00" w:rsidRDefault="00203A00" w:rsidP="00041983">
      <w:pPr>
        <w:pStyle w:val="ECHRPara"/>
        <w:rPr>
          <w:lang w:val="fr-FR"/>
        </w:rPr>
      </w:pPr>
      <w:r>
        <w:fldChar w:fldCharType="begin"/>
      </w:r>
      <w:r w:rsidRPr="00203A00">
        <w:rPr>
          <w:lang w:val="fr-FR"/>
        </w:rPr>
        <w:instrText xml:space="preserve"> SEQ level0 \*arabic </w:instrText>
      </w:r>
      <w:r>
        <w:fldChar w:fldCharType="separate"/>
      </w:r>
      <w:r w:rsidR="009E7656">
        <w:rPr>
          <w:noProof/>
          <w:lang w:val="fr-FR"/>
        </w:rPr>
        <w:t>43</w:t>
      </w:r>
      <w:r>
        <w:rPr>
          <w:noProof/>
        </w:rPr>
        <w:fldChar w:fldCharType="end"/>
      </w:r>
      <w:r w:rsidR="00041983" w:rsidRPr="00203A00">
        <w:rPr>
          <w:lang w:val="fr-FR"/>
        </w:rPr>
        <w:t>.  La Cour rappelle que, selon sa jurisprudence, l</w:t>
      </w:r>
      <w:r>
        <w:rPr>
          <w:lang w:val="fr-FR"/>
        </w:rPr>
        <w:t>’</w:t>
      </w:r>
      <w:r w:rsidR="00041983" w:rsidRPr="00203A00">
        <w:rPr>
          <w:lang w:val="fr-FR"/>
        </w:rPr>
        <w:t>allocation des frais et dépens au titre de l</w:t>
      </w:r>
      <w:r>
        <w:rPr>
          <w:lang w:val="fr-FR"/>
        </w:rPr>
        <w:t>’</w:t>
      </w:r>
      <w:r w:rsidR="00041983" w:rsidRPr="00203A00">
        <w:rPr>
          <w:lang w:val="fr-FR"/>
        </w:rPr>
        <w:t>article 41 présuppose que se trouvent établis leur réalité, leur nécessité et le caractère raisonnable de leur taux (</w:t>
      </w:r>
      <w:r w:rsidR="00041983" w:rsidRPr="00203A00">
        <w:rPr>
          <w:i/>
          <w:lang w:val="fr-FR"/>
        </w:rPr>
        <w:t>Can et autres c. Turquie</w:t>
      </w:r>
      <w:r w:rsidR="00041983" w:rsidRPr="00203A00">
        <w:rPr>
          <w:lang w:val="fr-FR"/>
        </w:rPr>
        <w:t>, n</w:t>
      </w:r>
      <w:r w:rsidR="00D0210D" w:rsidRPr="00203A00">
        <w:rPr>
          <w:vertAlign w:val="superscript"/>
          <w:lang w:val="fr-FR"/>
        </w:rPr>
        <w:t>o</w:t>
      </w:r>
      <w:r w:rsidR="00041983" w:rsidRPr="00203A00">
        <w:rPr>
          <w:lang w:val="fr-FR"/>
        </w:rPr>
        <w:t xml:space="preserve"> 29189/02, du 24 janvier 2008, § 22).</w:t>
      </w:r>
    </w:p>
    <w:p w:rsidR="00BD6B61" w:rsidRPr="00203A00" w:rsidRDefault="00203A00" w:rsidP="00203A00">
      <w:pPr>
        <w:pStyle w:val="ECHRPara"/>
        <w:rPr>
          <w:color w:val="000000"/>
          <w:szCs w:val="24"/>
          <w:lang w:val="fr-FR" w:eastAsia="en-GB"/>
        </w:rPr>
      </w:pPr>
      <w:r>
        <w:fldChar w:fldCharType="begin"/>
      </w:r>
      <w:r w:rsidRPr="00203A00">
        <w:rPr>
          <w:lang w:val="fr-FR"/>
        </w:rPr>
        <w:instrText xml:space="preserve"> SEQ level0 \*arabic </w:instrText>
      </w:r>
      <w:r>
        <w:fldChar w:fldCharType="separate"/>
      </w:r>
      <w:r w:rsidR="009E7656">
        <w:rPr>
          <w:noProof/>
          <w:lang w:val="fr-FR"/>
        </w:rPr>
        <w:t>44</w:t>
      </w:r>
      <w:r>
        <w:rPr>
          <w:noProof/>
        </w:rPr>
        <w:fldChar w:fldCharType="end"/>
      </w:r>
      <w:r w:rsidR="00041983" w:rsidRPr="00203A00">
        <w:rPr>
          <w:lang w:val="fr-FR"/>
        </w:rPr>
        <w:t>.  </w:t>
      </w:r>
      <w:r w:rsidR="00041983" w:rsidRPr="00203A00">
        <w:rPr>
          <w:color w:val="000000"/>
          <w:szCs w:val="24"/>
          <w:lang w:val="fr-FR" w:eastAsia="en-GB"/>
        </w:rPr>
        <w:t>La Cour ne doute pas de la nécessité d</w:t>
      </w:r>
      <w:r>
        <w:rPr>
          <w:color w:val="000000"/>
          <w:szCs w:val="24"/>
          <w:lang w:val="fr-FR" w:eastAsia="en-GB"/>
        </w:rPr>
        <w:t>’</w:t>
      </w:r>
      <w:r w:rsidR="00041983" w:rsidRPr="00203A00">
        <w:rPr>
          <w:color w:val="000000"/>
          <w:szCs w:val="24"/>
          <w:lang w:val="fr-FR" w:eastAsia="en-GB"/>
        </w:rPr>
        <w:t>engager des frais, mais elle trouve excessifs les honoraires totaux revendiqués à ce titre. Elle considère dès lors qu</w:t>
      </w:r>
      <w:r>
        <w:rPr>
          <w:color w:val="000000"/>
          <w:szCs w:val="24"/>
          <w:lang w:val="fr-FR" w:eastAsia="en-GB"/>
        </w:rPr>
        <w:t>’</w:t>
      </w:r>
      <w:r w:rsidR="00041983" w:rsidRPr="00203A00">
        <w:rPr>
          <w:color w:val="000000"/>
          <w:szCs w:val="24"/>
          <w:lang w:val="fr-FR" w:eastAsia="en-GB"/>
        </w:rPr>
        <w:t>il y a lieu de les rembourser en partie seulement.</w:t>
      </w:r>
    </w:p>
    <w:p w:rsidR="00041983" w:rsidRPr="00203A00" w:rsidRDefault="00041983" w:rsidP="00041983">
      <w:pPr>
        <w:pStyle w:val="ECHRPara"/>
        <w:rPr>
          <w:lang w:val="fr-FR"/>
        </w:rPr>
      </w:pPr>
      <w:r>
        <w:rPr>
          <w:color w:val="000000"/>
          <w:szCs w:val="24"/>
          <w:lang w:eastAsia="en-GB"/>
        </w:rPr>
        <w:fldChar w:fldCharType="begin"/>
      </w:r>
      <w:r w:rsidRPr="00203A00">
        <w:rPr>
          <w:color w:val="000000"/>
          <w:szCs w:val="24"/>
          <w:lang w:val="fr-FR" w:eastAsia="en-GB"/>
        </w:rPr>
        <w:instrText xml:space="preserve"> SEQ level0 \*arabic </w:instrText>
      </w:r>
      <w:r>
        <w:rPr>
          <w:color w:val="000000"/>
          <w:szCs w:val="24"/>
          <w:lang w:eastAsia="en-GB"/>
        </w:rPr>
        <w:fldChar w:fldCharType="separate"/>
      </w:r>
      <w:r w:rsidR="009E7656">
        <w:rPr>
          <w:noProof/>
          <w:color w:val="000000"/>
          <w:szCs w:val="24"/>
          <w:lang w:val="fr-FR" w:eastAsia="en-GB"/>
        </w:rPr>
        <w:t>45</w:t>
      </w:r>
      <w:r>
        <w:rPr>
          <w:color w:val="000000"/>
          <w:szCs w:val="24"/>
          <w:lang w:eastAsia="en-GB"/>
        </w:rPr>
        <w:fldChar w:fldCharType="end"/>
      </w:r>
      <w:r w:rsidRPr="00203A00">
        <w:rPr>
          <w:color w:val="000000"/>
          <w:szCs w:val="24"/>
          <w:lang w:val="fr-FR" w:eastAsia="en-GB"/>
        </w:rPr>
        <w:t>.  </w:t>
      </w:r>
      <w:r w:rsidRPr="00203A00">
        <w:rPr>
          <w:lang w:val="fr-FR"/>
        </w:rPr>
        <w:t>Compte tenu de sa jurisprudence en la matière, la Cour estime raisonnable d</w:t>
      </w:r>
      <w:r w:rsidR="00203A00">
        <w:rPr>
          <w:lang w:val="fr-FR"/>
        </w:rPr>
        <w:t>’</w:t>
      </w:r>
      <w:r w:rsidRPr="00203A00">
        <w:rPr>
          <w:lang w:val="fr-FR"/>
        </w:rPr>
        <w:t>allouer aux requérants conjointement la somme de 7 000 EUR au titre des frais et dépens de la procédure nationale et pour la procédure devant la Cour.</w:t>
      </w:r>
    </w:p>
    <w:p w:rsidR="00041983" w:rsidRPr="004977D0" w:rsidRDefault="00041983" w:rsidP="00041983">
      <w:pPr>
        <w:pStyle w:val="ECHRHeading2"/>
        <w:outlineLvl w:val="0"/>
      </w:pPr>
      <w:r>
        <w:t>D</w:t>
      </w:r>
      <w:r w:rsidRPr="004977D0">
        <w:t>.  Intérêts moratoires</w:t>
      </w:r>
    </w:p>
    <w:p w:rsidR="00041983" w:rsidRPr="00203A00" w:rsidRDefault="00203A00" w:rsidP="00041983">
      <w:pPr>
        <w:pStyle w:val="ECHRPara"/>
        <w:rPr>
          <w:lang w:val="fr-FR"/>
        </w:rPr>
      </w:pPr>
      <w:r>
        <w:fldChar w:fldCharType="begin"/>
      </w:r>
      <w:r w:rsidRPr="00203A00">
        <w:rPr>
          <w:lang w:val="fr-FR"/>
        </w:rPr>
        <w:instrText xml:space="preserve"> SEQ level0 \*arabic </w:instrText>
      </w:r>
      <w:r>
        <w:fldChar w:fldCharType="separate"/>
      </w:r>
      <w:r w:rsidR="009E7656">
        <w:rPr>
          <w:noProof/>
          <w:lang w:val="fr-FR"/>
        </w:rPr>
        <w:t>46</w:t>
      </w:r>
      <w:r>
        <w:rPr>
          <w:noProof/>
        </w:rPr>
        <w:fldChar w:fldCharType="end"/>
      </w:r>
      <w:r w:rsidR="00041983" w:rsidRPr="00203A00">
        <w:rPr>
          <w:lang w:val="fr-FR"/>
        </w:rPr>
        <w:t>.  La Cour juge approprié de calquer le taux des intérêts moratoires sur le taux d</w:t>
      </w:r>
      <w:r>
        <w:rPr>
          <w:lang w:val="fr-FR"/>
        </w:rPr>
        <w:t>’</w:t>
      </w:r>
      <w:r w:rsidR="00041983" w:rsidRPr="00203A00">
        <w:rPr>
          <w:lang w:val="fr-FR"/>
        </w:rPr>
        <w:t>intérêt de la facilité de prêt marginal de la Banque centrale européenne majoré de trois points de pourcentage.</w:t>
      </w:r>
    </w:p>
    <w:p w:rsidR="00EC6427" w:rsidRPr="00685582" w:rsidRDefault="00EC6427" w:rsidP="00B33C50">
      <w:pPr>
        <w:pStyle w:val="ECHRTitle1"/>
      </w:pPr>
      <w:r w:rsidRPr="00685582">
        <w:t>PAR CES MOTIFS, LA COUR</w:t>
      </w:r>
      <w:r w:rsidR="00BB0A56">
        <w:t>,</w:t>
      </w:r>
      <w:r w:rsidRPr="00685582">
        <w:t xml:space="preserve"> </w:t>
      </w:r>
      <w:r w:rsidR="00155FF1" w:rsidRPr="00685582">
        <w:t>À L</w:t>
      </w:r>
      <w:r w:rsidR="00203A00">
        <w:t>’</w:t>
      </w:r>
      <w:r w:rsidR="00155FF1" w:rsidRPr="00685582">
        <w:t>UNANIMITÉ,</w:t>
      </w:r>
    </w:p>
    <w:p w:rsidR="007E49CC" w:rsidRPr="007E49CC" w:rsidRDefault="00EC6427" w:rsidP="007E49CC">
      <w:pPr>
        <w:pStyle w:val="JuList"/>
      </w:pPr>
      <w:r w:rsidRPr="00685582">
        <w:t>1</w:t>
      </w:r>
      <w:r w:rsidR="007E49CC" w:rsidRPr="007E49CC">
        <w:t>.  </w:t>
      </w:r>
      <w:r w:rsidR="007E49CC" w:rsidRPr="007E49CC">
        <w:rPr>
          <w:i/>
        </w:rPr>
        <w:t>Déclare</w:t>
      </w:r>
      <w:r w:rsidR="007E49CC" w:rsidRPr="007E49CC">
        <w:t xml:space="preserve"> la requête recevable ;</w:t>
      </w:r>
    </w:p>
    <w:p w:rsidR="007E49CC" w:rsidRPr="007E49CC" w:rsidRDefault="007E49CC" w:rsidP="007E49CC">
      <w:pPr>
        <w:pStyle w:val="JuList"/>
      </w:pPr>
    </w:p>
    <w:p w:rsidR="007E49CC" w:rsidRPr="007E49CC" w:rsidRDefault="007E49CC" w:rsidP="007E49CC">
      <w:pPr>
        <w:pStyle w:val="JuList"/>
      </w:pPr>
      <w:r w:rsidRPr="007E49CC">
        <w:t>2.  </w:t>
      </w:r>
      <w:r w:rsidRPr="007E49CC">
        <w:rPr>
          <w:i/>
        </w:rPr>
        <w:t>Dit</w:t>
      </w:r>
      <w:r w:rsidRPr="007E49CC">
        <w:t xml:space="preserve"> qu</w:t>
      </w:r>
      <w:r w:rsidR="00203A00">
        <w:t>’</w:t>
      </w:r>
      <w:r w:rsidRPr="007E49CC">
        <w:t>il y a eu violation de l</w:t>
      </w:r>
      <w:r w:rsidR="00203A00">
        <w:t>’</w:t>
      </w:r>
      <w:r w:rsidRPr="007E49CC">
        <w:t>article 1 du Protocole n</w:t>
      </w:r>
      <w:r w:rsidR="00D0210D" w:rsidRPr="00D0210D">
        <w:rPr>
          <w:vertAlign w:val="superscript"/>
        </w:rPr>
        <w:t>o</w:t>
      </w:r>
      <w:r w:rsidRPr="007E49CC">
        <w:t xml:space="preserve"> 1;</w:t>
      </w:r>
    </w:p>
    <w:p w:rsidR="007E49CC" w:rsidRPr="007E49CC" w:rsidRDefault="007E49CC" w:rsidP="007E49CC">
      <w:pPr>
        <w:pStyle w:val="JuList"/>
      </w:pPr>
    </w:p>
    <w:p w:rsidR="007E49CC" w:rsidRPr="007E49CC" w:rsidRDefault="007E49CC" w:rsidP="007E49CC">
      <w:pPr>
        <w:pStyle w:val="JuList"/>
      </w:pPr>
      <w:r w:rsidRPr="007E49CC">
        <w:t>3.  </w:t>
      </w:r>
      <w:r w:rsidRPr="007E49CC">
        <w:rPr>
          <w:i/>
        </w:rPr>
        <w:t>Dit</w:t>
      </w:r>
      <w:r w:rsidRPr="007E49CC">
        <w:t xml:space="preserve"> qu</w:t>
      </w:r>
      <w:r w:rsidR="00203A00">
        <w:t>’</w:t>
      </w:r>
      <w:r w:rsidRPr="007E49CC">
        <w:t>il n</w:t>
      </w:r>
      <w:r w:rsidR="00203A00">
        <w:t>’</w:t>
      </w:r>
      <w:r w:rsidRPr="007E49CC">
        <w:t>y a pas lieu d</w:t>
      </w:r>
      <w:r w:rsidR="00203A00">
        <w:t>’</w:t>
      </w:r>
      <w:r w:rsidRPr="007E49CC">
        <w:t>examiner le grief tiré de l</w:t>
      </w:r>
      <w:r w:rsidR="00203A00">
        <w:t>’</w:t>
      </w:r>
      <w:r w:rsidRPr="007E49CC">
        <w:t>article 6 § 1 de la Convention ;</w:t>
      </w:r>
    </w:p>
    <w:p w:rsidR="007E49CC" w:rsidRPr="007E49CC" w:rsidRDefault="007E49CC" w:rsidP="007E49CC">
      <w:pPr>
        <w:pStyle w:val="JuList"/>
      </w:pPr>
    </w:p>
    <w:p w:rsidR="007E49CC" w:rsidRPr="007E49CC" w:rsidRDefault="007E49CC" w:rsidP="007E49CC">
      <w:pPr>
        <w:pStyle w:val="JuList"/>
      </w:pPr>
      <w:r w:rsidRPr="007E49CC">
        <w:t>4.  </w:t>
      </w:r>
      <w:r w:rsidRPr="007E49CC">
        <w:rPr>
          <w:i/>
        </w:rPr>
        <w:t>Dit</w:t>
      </w:r>
    </w:p>
    <w:p w:rsidR="00BB0A56" w:rsidRPr="007E49CC" w:rsidRDefault="00BB0A56" w:rsidP="00BB0A56">
      <w:pPr>
        <w:pStyle w:val="JuLista"/>
      </w:pPr>
      <w:r w:rsidRPr="007E49CC">
        <w:t>a)  que l</w:t>
      </w:r>
      <w:r w:rsidR="00203A00">
        <w:t>’</w:t>
      </w:r>
      <w:r w:rsidRPr="007E49CC">
        <w:t>État défendeur doit verser aux requérants conjointement, dans les trois mois, les sommes suivantes :</w:t>
      </w:r>
    </w:p>
    <w:p w:rsidR="00BB0A56" w:rsidRPr="007E49CC" w:rsidRDefault="00BB0A56" w:rsidP="00BB0A56">
      <w:pPr>
        <w:pStyle w:val="JuListi"/>
      </w:pPr>
      <w:r w:rsidRPr="007E49CC">
        <w:t>i)  </w:t>
      </w:r>
      <w:r>
        <w:t>112 500 </w:t>
      </w:r>
      <w:r w:rsidRPr="007E49CC">
        <w:t>EUR</w:t>
      </w:r>
      <w:r>
        <w:t> </w:t>
      </w:r>
      <w:r w:rsidRPr="007E49CC">
        <w:t>(</w:t>
      </w:r>
      <w:r>
        <w:t>cent douze mille cinq cents euros</w:t>
      </w:r>
      <w:r w:rsidRPr="007E49CC">
        <w:t>), plus tout montant pouvant être dû à titre d</w:t>
      </w:r>
      <w:r w:rsidR="00203A00">
        <w:t>’</w:t>
      </w:r>
      <w:r w:rsidRPr="007E49CC">
        <w:t>impôt, pour dommage matériel ;</w:t>
      </w:r>
    </w:p>
    <w:p w:rsidR="00BB0A56" w:rsidRPr="007E49CC" w:rsidRDefault="00BB0A56" w:rsidP="00BB0A56">
      <w:pPr>
        <w:pStyle w:val="JuListi"/>
      </w:pPr>
      <w:r w:rsidRPr="007E49CC">
        <w:t>ii)  </w:t>
      </w:r>
      <w:r>
        <w:t> 10 </w:t>
      </w:r>
      <w:r w:rsidRPr="007E49CC">
        <w:t>000</w:t>
      </w:r>
      <w:r>
        <w:t> </w:t>
      </w:r>
      <w:r w:rsidRPr="007E49CC">
        <w:t>EUR</w:t>
      </w:r>
      <w:r>
        <w:t> </w:t>
      </w:r>
      <w:r w:rsidRPr="007E49CC">
        <w:t>(</w:t>
      </w:r>
      <w:r>
        <w:t>dix</w:t>
      </w:r>
      <w:r w:rsidRPr="007E49CC">
        <w:t xml:space="preserve"> mille euros), plus tout montant pouvant être dû à titre d</w:t>
      </w:r>
      <w:r w:rsidR="00203A00">
        <w:t>’</w:t>
      </w:r>
      <w:r w:rsidRPr="007E49CC">
        <w:t>impôt, pour dommage moral ;</w:t>
      </w:r>
    </w:p>
    <w:p w:rsidR="00BB0A56" w:rsidRDefault="00BB0A56" w:rsidP="00BB0A56">
      <w:pPr>
        <w:pStyle w:val="JuListi"/>
      </w:pPr>
      <w:r w:rsidRPr="007E49CC">
        <w:t>iii)  </w:t>
      </w:r>
      <w:r>
        <w:t> 7 </w:t>
      </w:r>
      <w:r w:rsidRPr="007E49CC">
        <w:t>000</w:t>
      </w:r>
      <w:r>
        <w:t> </w:t>
      </w:r>
      <w:r w:rsidRPr="007E49CC">
        <w:t>EUR</w:t>
      </w:r>
      <w:r>
        <w:t> </w:t>
      </w:r>
      <w:r w:rsidRPr="007E49CC">
        <w:t>(</w:t>
      </w:r>
      <w:r>
        <w:t xml:space="preserve">sept </w:t>
      </w:r>
      <w:r w:rsidRPr="007E49CC">
        <w:t>mille euros), plus tout montant pouvant être dû à titre d</w:t>
      </w:r>
      <w:r w:rsidR="00203A00">
        <w:t>’</w:t>
      </w:r>
      <w:r w:rsidRPr="007E49CC">
        <w:t>impôt par les requérants, pour frais et dépens ;</w:t>
      </w:r>
    </w:p>
    <w:p w:rsidR="00BB0A56" w:rsidRPr="007E49CC" w:rsidRDefault="00BB0A56" w:rsidP="00BB0A56">
      <w:pPr>
        <w:pStyle w:val="JuLista"/>
      </w:pPr>
      <w:r w:rsidRPr="007E49CC">
        <w:t>b)  qu</w:t>
      </w:r>
      <w:r w:rsidR="00203A00">
        <w:t>’</w:t>
      </w:r>
      <w:r w:rsidRPr="007E49CC">
        <w:t>à compter de l</w:t>
      </w:r>
      <w:r w:rsidR="00203A00">
        <w:t>’</w:t>
      </w:r>
      <w:r w:rsidRPr="007E49CC">
        <w:t>expiration dudit délai et jusqu</w:t>
      </w:r>
      <w:r w:rsidR="00203A00">
        <w:t>’</w:t>
      </w:r>
      <w:r w:rsidRPr="007E49CC">
        <w:t>au versement, ces montants seront à majorer d</w:t>
      </w:r>
      <w:r w:rsidR="00203A00">
        <w:t>’</w:t>
      </w:r>
      <w:r w:rsidRPr="007E49CC">
        <w:t xml:space="preserve">un intérêt simple à un taux égal à celui de la facilité de prêt marginal de la Banque centrale européenne applicable pendant cette période, augmenté </w:t>
      </w:r>
      <w:r>
        <w:t>de trois points de pourcentage.</w:t>
      </w:r>
    </w:p>
    <w:p w:rsidR="0029438C" w:rsidRPr="00AB2F23" w:rsidRDefault="0029438C" w:rsidP="0029438C">
      <w:pPr>
        <w:pStyle w:val="JuSigned"/>
        <w:keepNext/>
        <w:keepLines/>
      </w:pPr>
      <w:r w:rsidRPr="00211068">
        <w:tab/>
      </w:r>
      <w:r w:rsidR="00311FB6" w:rsidRPr="00311FB6">
        <w:rPr>
          <w:rFonts w:ascii="Times New Roman" w:eastAsia="Times New Roman" w:hAnsi="Times New Roman" w:cs="Times New Roman"/>
          <w:szCs w:val="20"/>
        </w:rPr>
        <w:t>Fatoş Aracı</w:t>
      </w:r>
      <w:r w:rsidRPr="00AB2F23">
        <w:tab/>
      </w:r>
      <w:r>
        <w:rPr>
          <w:szCs w:val="24"/>
        </w:rPr>
        <w:t>Dragoljub</w:t>
      </w:r>
      <w:r w:rsidR="005E51C1">
        <w:t xml:space="preserve"> Popović</w:t>
      </w:r>
      <w:r w:rsidR="005E51C1">
        <w:br/>
      </w:r>
      <w:r w:rsidR="005E51C1">
        <w:tab/>
        <w:t>Greffiè</w:t>
      </w:r>
      <w:r w:rsidR="00B04662">
        <w:t>re</w:t>
      </w:r>
      <w:r>
        <w:t xml:space="preserve"> adjoint</w:t>
      </w:r>
      <w:r w:rsidR="00B04662">
        <w:t>e</w:t>
      </w:r>
      <w:r w:rsidR="002C6EA4">
        <w:t xml:space="preserve"> f.f.</w:t>
      </w:r>
      <w:r w:rsidRPr="00AB2F23">
        <w:tab/>
      </w:r>
      <w:r w:rsidRPr="00DE3C8C">
        <w:rPr>
          <w:szCs w:val="24"/>
        </w:rPr>
        <w:t>Président</w:t>
      </w:r>
    </w:p>
    <w:sectPr w:rsidR="0029438C" w:rsidRPr="00AB2F23" w:rsidSect="00D0210D">
      <w:headerReference w:type="even" r:id="rId11"/>
      <w:headerReference w:type="default" r:id="rId12"/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46" w:rsidRDefault="004F7046">
      <w:r>
        <w:separator/>
      </w:r>
    </w:p>
  </w:endnote>
  <w:endnote w:type="continuationSeparator" w:id="0">
    <w:p w:rsidR="004F7046" w:rsidRDefault="004F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0D" w:rsidRPr="00150BFA" w:rsidRDefault="00D0210D" w:rsidP="0020718E">
    <w:pPr>
      <w:jc w:val="center"/>
    </w:pPr>
    <w:r>
      <w:rPr>
        <w:noProof/>
        <w:lang w:eastAsia="ja-JP"/>
      </w:rPr>
      <w:drawing>
        <wp:inline distT="0" distB="0" distL="0" distR="0" wp14:anchorId="1AA17FD3" wp14:editId="40B17D85">
          <wp:extent cx="762002" cy="609601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_CS6_CO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2" cy="609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210D" w:rsidRDefault="00D02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46" w:rsidRDefault="004F7046">
      <w:r>
        <w:separator/>
      </w:r>
    </w:p>
  </w:footnote>
  <w:footnote w:type="continuationSeparator" w:id="0">
    <w:p w:rsidR="004F7046" w:rsidRDefault="004F7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46" w:rsidRPr="00D0210D" w:rsidRDefault="004F7046" w:rsidP="00D0210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0D" w:rsidRPr="00A45145" w:rsidRDefault="00D0210D" w:rsidP="00A45145">
    <w:pPr>
      <w:jc w:val="center"/>
    </w:pPr>
    <w:r w:rsidRPr="00A45145">
      <w:rPr>
        <w:noProof/>
        <w:lang w:eastAsia="ja-JP"/>
      </w:rPr>
      <w:drawing>
        <wp:inline distT="0" distB="0" distL="0" distR="0" wp14:anchorId="2F3E76B3" wp14:editId="0A5C8686">
          <wp:extent cx="2943225" cy="1219200"/>
          <wp:effectExtent l="0" t="0" r="9525" b="0"/>
          <wp:docPr id="6" name="Picture 6" descr="R:\1_Graphics&amp;Web\Court_Graphic_Charter\2013\ECHR_Stationery\Documents\Cover_Page\ECHR_CoverpageCS6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\Cover_Page\ECHR_CoverpageCS6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10D" w:rsidRDefault="00D021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0D" w:rsidRPr="00DE593D" w:rsidRDefault="00D0210D" w:rsidP="00946BFB">
    <w:pPr>
      <w:pStyle w:val="ECHR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7656">
      <w:rPr>
        <w:rStyle w:val="PageNumber"/>
        <w:noProof/>
      </w:rPr>
      <w:t>32</w:t>
    </w:r>
    <w:r>
      <w:rPr>
        <w:rStyle w:val="PageNumber"/>
      </w:rPr>
      <w:fldChar w:fldCharType="end"/>
    </w:r>
    <w:r w:rsidRPr="00DE593D">
      <w:rPr>
        <w:rStyle w:val="PageNumber"/>
      </w:rPr>
      <w:tab/>
    </w:r>
    <w:r>
      <w:rPr>
        <w:noProof/>
      </w:rPr>
      <w:t>ARRÊT</w:t>
    </w:r>
    <w:r w:rsidRPr="00DE593D">
      <w:t xml:space="preserve"> </w:t>
    </w:r>
    <w:r w:rsidRPr="00DD3AEB">
      <w:t>BENENATI ET SCILLAM</w:t>
    </w:r>
    <w:r w:rsidRPr="00DD3AEB">
      <w:rPr>
        <w:rFonts w:cstheme="minorHAnsi"/>
      </w:rPr>
      <w:t>À</w:t>
    </w:r>
    <w:r>
      <w:t xml:space="preserve"> c. ITALIE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0D" w:rsidRPr="00DE593D" w:rsidRDefault="00D0210D" w:rsidP="00946BFB">
    <w:pPr>
      <w:pStyle w:val="ECHRHeader"/>
    </w:pPr>
    <w:r>
      <w:tab/>
    </w:r>
    <w:r>
      <w:rPr>
        <w:noProof/>
      </w:rPr>
      <w:t>ARRÊT</w:t>
    </w:r>
    <w:r w:rsidRPr="00DE593D">
      <w:t xml:space="preserve"> </w:t>
    </w:r>
    <w:r w:rsidRPr="00DD3AEB">
      <w:t>BENENATI ET SCILLAM</w:t>
    </w:r>
    <w:r w:rsidRPr="00DD3AEB">
      <w:rPr>
        <w:rFonts w:cstheme="minorHAnsi"/>
      </w:rPr>
      <w:t>À</w:t>
    </w:r>
    <w:r>
      <w:rPr>
        <w:b/>
      </w:rPr>
      <w:t xml:space="preserve"> </w:t>
    </w:r>
    <w:r>
      <w:t>c. ITALIE</w:t>
    </w:r>
    <w:r w:rsidRPr="00DE593D"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7656">
      <w:rPr>
        <w:rStyle w:val="PageNumber"/>
        <w:noProof/>
      </w:rPr>
      <w:t>32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AA22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189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C430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268F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A0A7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3829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8AD3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501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E43E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AEA0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8750E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4A6C79"/>
    <w:multiLevelType w:val="multilevel"/>
    <w:tmpl w:val="2FC04DA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B3A5857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DB92CFA"/>
    <w:multiLevelType w:val="hybridMultilevel"/>
    <w:tmpl w:val="513A807C"/>
    <w:lvl w:ilvl="0" w:tplc="EAA8F0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B35A03"/>
    <w:multiLevelType w:val="multilevel"/>
    <w:tmpl w:val="BC84849E"/>
    <w:lvl w:ilvl="0">
      <w:start w:val="1"/>
      <w:numFmt w:val="lowerLetter"/>
      <w:suff w:val="nothing"/>
      <w:lvlText w:val="(%1)  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15053EB"/>
    <w:multiLevelType w:val="multilevel"/>
    <w:tmpl w:val="941CA41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191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9ED3C69"/>
    <w:multiLevelType w:val="multilevel"/>
    <w:tmpl w:val="FF7A8054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3D29CF"/>
    <w:multiLevelType w:val="multilevel"/>
    <w:tmpl w:val="10F4A786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0324D93"/>
    <w:multiLevelType w:val="hybridMultilevel"/>
    <w:tmpl w:val="F7D68528"/>
    <w:lvl w:ilvl="0" w:tplc="569A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77587"/>
    <w:multiLevelType w:val="multilevel"/>
    <w:tmpl w:val="4954960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58756B5"/>
    <w:multiLevelType w:val="multilevel"/>
    <w:tmpl w:val="F8A6854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063F06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9AB3FB9"/>
    <w:multiLevelType w:val="multilevel"/>
    <w:tmpl w:val="7A6AC2C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upperRoman"/>
      <w:lvlText w:val="%7"/>
      <w:lvlJc w:val="left"/>
      <w:pPr>
        <w:tabs>
          <w:tab w:val="num" w:pos="1985"/>
        </w:tabs>
        <w:ind w:left="1985" w:hanging="227"/>
      </w:pPr>
      <w:rPr>
        <w:rFonts w:ascii="Symbol" w:hAnsi="Symbol" w:hint="default"/>
        <w:strike w:val="0"/>
        <w:dstrike w:val="0"/>
        <w:color w:val="auto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2B9959AD"/>
    <w:multiLevelType w:val="multilevel"/>
    <w:tmpl w:val="E102B54A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0B42C89"/>
    <w:multiLevelType w:val="hybridMultilevel"/>
    <w:tmpl w:val="CFB02226"/>
    <w:lvl w:ilvl="0" w:tplc="52584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34506C"/>
    <w:multiLevelType w:val="multilevel"/>
    <w:tmpl w:val="F288E2F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74D47F6"/>
    <w:multiLevelType w:val="multilevel"/>
    <w:tmpl w:val="29C02C80"/>
    <w:lvl w:ilvl="0">
      <w:start w:val="1"/>
      <w:numFmt w:val="decimal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88D47DE"/>
    <w:multiLevelType w:val="multilevel"/>
    <w:tmpl w:val="F7F2C62E"/>
    <w:lvl w:ilvl="0">
      <w:start w:val="1"/>
      <w:numFmt w:val="decimal"/>
      <w:lvlText w:val="%1."/>
      <w:lvlJc w:val="left"/>
      <w:pPr>
        <w:ind w:left="102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E85438D"/>
    <w:multiLevelType w:val="multilevel"/>
    <w:tmpl w:val="73BC578A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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suff w:val="space"/>
      <w:lvlText w:val=""/>
      <w:lvlJc w:val="left"/>
      <w:pPr>
        <w:ind w:left="1814" w:hanging="17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13377FF"/>
    <w:multiLevelType w:val="multilevel"/>
    <w:tmpl w:val="EDC8B6A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4E25784"/>
    <w:multiLevelType w:val="multilevel"/>
    <w:tmpl w:val="165083BE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60B61A5"/>
    <w:multiLevelType w:val="multilevel"/>
    <w:tmpl w:val="11FA262C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462F4708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4D1F59D2"/>
    <w:multiLevelType w:val="hybridMultilevel"/>
    <w:tmpl w:val="4582FBFC"/>
    <w:lvl w:ilvl="0" w:tplc="0D90B7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A02EFE"/>
    <w:multiLevelType w:val="multilevel"/>
    <w:tmpl w:val="F42CEE5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4E8C0CF9"/>
    <w:multiLevelType w:val="multilevel"/>
    <w:tmpl w:val="090EC1B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06B6FCB"/>
    <w:multiLevelType w:val="multilevel"/>
    <w:tmpl w:val="067E4BA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2FB1EA6"/>
    <w:multiLevelType w:val="multilevel"/>
    <w:tmpl w:val="B1545D7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54812F33"/>
    <w:multiLevelType w:val="multilevel"/>
    <w:tmpl w:val="CD6E790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–"/>
      <w:lvlJc w:val="left"/>
      <w:pPr>
        <w:tabs>
          <w:tab w:val="num" w:pos="1985"/>
        </w:tabs>
        <w:ind w:left="1985" w:hanging="227"/>
      </w:pPr>
      <w:rPr>
        <w:rFonts w:asciiTheme="majorHAnsi" w:hAnsiTheme="majorHAnsi" w:hint="default"/>
        <w:color w:val="000000" w:themeColor="text1"/>
        <w:sz w:val="28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asciiTheme="majorHAnsi" w:hAnsiTheme="majorHAnsi" w:hint="default"/>
        <w:strike w:val="0"/>
        <w:dstrike w:val="0"/>
        <w:color w:val="000000" w:themeColor="text1"/>
        <w:sz w:val="28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5A7B5D2C"/>
    <w:multiLevelType w:val="multilevel"/>
    <w:tmpl w:val="0A7CB2D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1FE1C04"/>
    <w:multiLevelType w:val="multilevel"/>
    <w:tmpl w:val="BEDA27C0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)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814" w:hanging="170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"/>
      <w:lvlJc w:val="left"/>
      <w:pPr>
        <w:ind w:left="1985" w:hanging="171"/>
      </w:pPr>
      <w:rPr>
        <w:rFonts w:ascii="Wingdings" w:hAnsi="Wingdings" w:hint="default"/>
        <w:color w:val="000000" w:themeColor="text1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65D7306C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>
    <w:nsid w:val="66FD4624"/>
    <w:multiLevelType w:val="hybridMultilevel"/>
    <w:tmpl w:val="F8A68542"/>
    <w:lvl w:ilvl="0" w:tplc="7CD2FB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797CA4"/>
    <w:multiLevelType w:val="multilevel"/>
    <w:tmpl w:val="A1CE0A3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4DD17BC"/>
    <w:multiLevelType w:val="multilevel"/>
    <w:tmpl w:val="EC58AD9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tabs>
          <w:tab w:val="num" w:pos="1985"/>
        </w:tabs>
        <w:ind w:left="1985" w:hanging="227"/>
      </w:pPr>
      <w:rPr>
        <w:rFonts w:asciiTheme="minorHAnsi" w:hAnsiTheme="minorHAnsi" w:hint="default"/>
        <w:strike w:val="0"/>
        <w:dstrike w:val="0"/>
        <w:color w:val="auto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45"/>
  </w:num>
  <w:num w:numId="3">
    <w:abstractNumId w:val="21"/>
  </w:num>
  <w:num w:numId="4">
    <w:abstractNumId w:val="10"/>
  </w:num>
  <w:num w:numId="5">
    <w:abstractNumId w:val="4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26"/>
  </w:num>
  <w:num w:numId="17">
    <w:abstractNumId w:val="40"/>
  </w:num>
  <w:num w:numId="18">
    <w:abstractNumId w:val="35"/>
  </w:num>
  <w:num w:numId="19">
    <w:abstractNumId w:val="36"/>
  </w:num>
  <w:num w:numId="20">
    <w:abstractNumId w:val="25"/>
  </w:num>
  <w:num w:numId="21">
    <w:abstractNumId w:val="15"/>
  </w:num>
  <w:num w:numId="22">
    <w:abstractNumId w:val="19"/>
  </w:num>
  <w:num w:numId="23">
    <w:abstractNumId w:val="38"/>
  </w:num>
  <w:num w:numId="24">
    <w:abstractNumId w:val="34"/>
  </w:num>
  <w:num w:numId="25">
    <w:abstractNumId w:val="37"/>
  </w:num>
  <w:num w:numId="26">
    <w:abstractNumId w:val="43"/>
  </w:num>
  <w:num w:numId="27">
    <w:abstractNumId w:val="23"/>
  </w:num>
  <w:num w:numId="28">
    <w:abstractNumId w:val="11"/>
  </w:num>
  <w:num w:numId="29">
    <w:abstractNumId w:val="31"/>
  </w:num>
  <w:num w:numId="30">
    <w:abstractNumId w:val="16"/>
  </w:num>
  <w:num w:numId="31">
    <w:abstractNumId w:val="39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12"/>
  </w:num>
  <w:num w:numId="35">
    <w:abstractNumId w:val="32"/>
  </w:num>
  <w:num w:numId="36">
    <w:abstractNumId w:val="28"/>
  </w:num>
  <w:num w:numId="37">
    <w:abstractNumId w:val="29"/>
  </w:num>
  <w:num w:numId="38">
    <w:abstractNumId w:val="14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3"/>
  </w:num>
  <w:num w:numId="42">
    <w:abstractNumId w:val="24"/>
  </w:num>
  <w:num w:numId="43">
    <w:abstractNumId w:val="33"/>
  </w:num>
  <w:num w:numId="44">
    <w:abstractNumId w:val="30"/>
  </w:num>
  <w:num w:numId="45">
    <w:abstractNumId w:val="27"/>
  </w:num>
  <w:num w:numId="46">
    <w:abstractNumId w:val="42"/>
  </w:num>
  <w:num w:numId="47">
    <w:abstractNumId w:val="20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activeWritingStyle w:appName="MSWord" w:lang="fr-FR" w:vendorID="9" w:dllVersion="512" w:checkStyle="1"/>
  <w:activeWritingStyle w:appName="MSWord" w:lang="sv-SE" w:vendorID="0" w:dllVersion="512" w:checkStyle="1"/>
  <w:activeWritingStyle w:appName="MSWord" w:lang="pt-PT" w:vendorID="13" w:dllVersion="513" w:checkStyle="1"/>
  <w:activeWritingStyle w:appName="MSWord" w:lang="sv-SE" w:vendorID="666" w:dllVersion="513" w:checkStyle="1"/>
  <w:activeWritingStyle w:appName="MSWord" w:lang="fi-FI" w:vendorID="666" w:dllVersion="513" w:checkStyle="1"/>
  <w:proofState w:spelling="clean" w:grammar="clean"/>
  <w:stylePaneFormatFilter w:val="F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1"/>
  <w:defaultTabStop w:val="706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155FF1"/>
    <w:rsid w:val="00000A8E"/>
    <w:rsid w:val="00006607"/>
    <w:rsid w:val="0000732D"/>
    <w:rsid w:val="0001493E"/>
    <w:rsid w:val="00023684"/>
    <w:rsid w:val="0003067A"/>
    <w:rsid w:val="000346B8"/>
    <w:rsid w:val="00034B42"/>
    <w:rsid w:val="000372C9"/>
    <w:rsid w:val="00041983"/>
    <w:rsid w:val="00042DCF"/>
    <w:rsid w:val="00060909"/>
    <w:rsid w:val="0006561E"/>
    <w:rsid w:val="00072E60"/>
    <w:rsid w:val="00076451"/>
    <w:rsid w:val="0009234F"/>
    <w:rsid w:val="00093432"/>
    <w:rsid w:val="0009497E"/>
    <w:rsid w:val="0009631E"/>
    <w:rsid w:val="0009688D"/>
    <w:rsid w:val="000A1ADF"/>
    <w:rsid w:val="000A3D31"/>
    <w:rsid w:val="000A4F27"/>
    <w:rsid w:val="000B3205"/>
    <w:rsid w:val="000B7194"/>
    <w:rsid w:val="000C4043"/>
    <w:rsid w:val="000D6013"/>
    <w:rsid w:val="000E2985"/>
    <w:rsid w:val="000E4D02"/>
    <w:rsid w:val="000E78C7"/>
    <w:rsid w:val="000F08D4"/>
    <w:rsid w:val="00110C84"/>
    <w:rsid w:val="00126687"/>
    <w:rsid w:val="001352AA"/>
    <w:rsid w:val="00142DF7"/>
    <w:rsid w:val="00147398"/>
    <w:rsid w:val="00150742"/>
    <w:rsid w:val="001524AA"/>
    <w:rsid w:val="001542F3"/>
    <w:rsid w:val="00155FF1"/>
    <w:rsid w:val="00171757"/>
    <w:rsid w:val="00172CF0"/>
    <w:rsid w:val="001752B0"/>
    <w:rsid w:val="00180C7C"/>
    <w:rsid w:val="00180FFE"/>
    <w:rsid w:val="00181784"/>
    <w:rsid w:val="00184E3A"/>
    <w:rsid w:val="00196E64"/>
    <w:rsid w:val="001A1237"/>
    <w:rsid w:val="001D1860"/>
    <w:rsid w:val="001E06E7"/>
    <w:rsid w:val="001F48D8"/>
    <w:rsid w:val="001F6022"/>
    <w:rsid w:val="001F6681"/>
    <w:rsid w:val="00201EAC"/>
    <w:rsid w:val="00203A00"/>
    <w:rsid w:val="00206868"/>
    <w:rsid w:val="00207248"/>
    <w:rsid w:val="00211F5F"/>
    <w:rsid w:val="00220C1C"/>
    <w:rsid w:val="00221D16"/>
    <w:rsid w:val="00236C5E"/>
    <w:rsid w:val="002459FE"/>
    <w:rsid w:val="00247DD7"/>
    <w:rsid w:val="00263561"/>
    <w:rsid w:val="00274199"/>
    <w:rsid w:val="00275892"/>
    <w:rsid w:val="00282023"/>
    <w:rsid w:val="002821AD"/>
    <w:rsid w:val="0028541F"/>
    <w:rsid w:val="00287191"/>
    <w:rsid w:val="002921BB"/>
    <w:rsid w:val="002927CA"/>
    <w:rsid w:val="0029438C"/>
    <w:rsid w:val="0029723C"/>
    <w:rsid w:val="002A27EC"/>
    <w:rsid w:val="002B015F"/>
    <w:rsid w:val="002C6EA4"/>
    <w:rsid w:val="002D020E"/>
    <w:rsid w:val="002D515F"/>
    <w:rsid w:val="002E39B7"/>
    <w:rsid w:val="002F1CE6"/>
    <w:rsid w:val="0030487C"/>
    <w:rsid w:val="00305449"/>
    <w:rsid w:val="0031192B"/>
    <w:rsid w:val="00311FB6"/>
    <w:rsid w:val="00327411"/>
    <w:rsid w:val="003306D4"/>
    <w:rsid w:val="0033610E"/>
    <w:rsid w:val="003407D0"/>
    <w:rsid w:val="00341552"/>
    <w:rsid w:val="00350960"/>
    <w:rsid w:val="00353314"/>
    <w:rsid w:val="00360C14"/>
    <w:rsid w:val="00361E13"/>
    <w:rsid w:val="00362D1F"/>
    <w:rsid w:val="00370701"/>
    <w:rsid w:val="00381E02"/>
    <w:rsid w:val="003835A5"/>
    <w:rsid w:val="00383CB7"/>
    <w:rsid w:val="00386B91"/>
    <w:rsid w:val="00387F24"/>
    <w:rsid w:val="003925CE"/>
    <w:rsid w:val="003A09B2"/>
    <w:rsid w:val="003B0567"/>
    <w:rsid w:val="003B61BC"/>
    <w:rsid w:val="003B6855"/>
    <w:rsid w:val="003C1570"/>
    <w:rsid w:val="003D2870"/>
    <w:rsid w:val="003E2D42"/>
    <w:rsid w:val="003E78B3"/>
    <w:rsid w:val="0040106E"/>
    <w:rsid w:val="0040252B"/>
    <w:rsid w:val="00402F19"/>
    <w:rsid w:val="0040406E"/>
    <w:rsid w:val="004079E9"/>
    <w:rsid w:val="00411421"/>
    <w:rsid w:val="00416D48"/>
    <w:rsid w:val="004219F0"/>
    <w:rsid w:val="004254D5"/>
    <w:rsid w:val="00425BF9"/>
    <w:rsid w:val="0043151B"/>
    <w:rsid w:val="00442FA9"/>
    <w:rsid w:val="00445E54"/>
    <w:rsid w:val="00446C43"/>
    <w:rsid w:val="004563AF"/>
    <w:rsid w:val="004653D9"/>
    <w:rsid w:val="0046778E"/>
    <w:rsid w:val="004702BA"/>
    <w:rsid w:val="004734A5"/>
    <w:rsid w:val="004736D2"/>
    <w:rsid w:val="00475AE5"/>
    <w:rsid w:val="00486CD2"/>
    <w:rsid w:val="004930AD"/>
    <w:rsid w:val="004932DA"/>
    <w:rsid w:val="004A01A3"/>
    <w:rsid w:val="004A0F1E"/>
    <w:rsid w:val="004B0C6F"/>
    <w:rsid w:val="004C61A7"/>
    <w:rsid w:val="004C691A"/>
    <w:rsid w:val="004C7DF5"/>
    <w:rsid w:val="004E3393"/>
    <w:rsid w:val="004E4552"/>
    <w:rsid w:val="004E63CA"/>
    <w:rsid w:val="004F404D"/>
    <w:rsid w:val="004F68A7"/>
    <w:rsid w:val="004F7046"/>
    <w:rsid w:val="0052605E"/>
    <w:rsid w:val="00527D18"/>
    <w:rsid w:val="005319B5"/>
    <w:rsid w:val="0053642D"/>
    <w:rsid w:val="005445AA"/>
    <w:rsid w:val="00547237"/>
    <w:rsid w:val="005501DA"/>
    <w:rsid w:val="0055092B"/>
    <w:rsid w:val="005526D1"/>
    <w:rsid w:val="00560B55"/>
    <w:rsid w:val="00561AFB"/>
    <w:rsid w:val="0057103A"/>
    <w:rsid w:val="005737E4"/>
    <w:rsid w:val="005740C2"/>
    <w:rsid w:val="005801E1"/>
    <w:rsid w:val="005B4C12"/>
    <w:rsid w:val="005B51DE"/>
    <w:rsid w:val="005B7AAF"/>
    <w:rsid w:val="005E1B0C"/>
    <w:rsid w:val="005E51C1"/>
    <w:rsid w:val="005E7568"/>
    <w:rsid w:val="005E79EB"/>
    <w:rsid w:val="005F3FA1"/>
    <w:rsid w:val="005F43E1"/>
    <w:rsid w:val="0061049D"/>
    <w:rsid w:val="00612896"/>
    <w:rsid w:val="00616140"/>
    <w:rsid w:val="00620817"/>
    <w:rsid w:val="006208CF"/>
    <w:rsid w:val="00626255"/>
    <w:rsid w:val="0064438C"/>
    <w:rsid w:val="00662B64"/>
    <w:rsid w:val="00670DDC"/>
    <w:rsid w:val="006716C1"/>
    <w:rsid w:val="0068104D"/>
    <w:rsid w:val="00685582"/>
    <w:rsid w:val="00693A1D"/>
    <w:rsid w:val="00694356"/>
    <w:rsid w:val="0069719D"/>
    <w:rsid w:val="006A05A8"/>
    <w:rsid w:val="006A0F1E"/>
    <w:rsid w:val="006A1ADE"/>
    <w:rsid w:val="006A1F0E"/>
    <w:rsid w:val="006A5686"/>
    <w:rsid w:val="006B1877"/>
    <w:rsid w:val="006B1C83"/>
    <w:rsid w:val="006B3663"/>
    <w:rsid w:val="006E10B7"/>
    <w:rsid w:val="006E30BD"/>
    <w:rsid w:val="006E3C39"/>
    <w:rsid w:val="006F005A"/>
    <w:rsid w:val="007028E0"/>
    <w:rsid w:val="00710681"/>
    <w:rsid w:val="00722806"/>
    <w:rsid w:val="007357D0"/>
    <w:rsid w:val="007400F3"/>
    <w:rsid w:val="00752D87"/>
    <w:rsid w:val="00755392"/>
    <w:rsid w:val="007724CD"/>
    <w:rsid w:val="0077322C"/>
    <w:rsid w:val="0077792A"/>
    <w:rsid w:val="00780F3B"/>
    <w:rsid w:val="00781B87"/>
    <w:rsid w:val="007864E1"/>
    <w:rsid w:val="00790C2C"/>
    <w:rsid w:val="00795176"/>
    <w:rsid w:val="007A087B"/>
    <w:rsid w:val="007A1711"/>
    <w:rsid w:val="007A181F"/>
    <w:rsid w:val="007A52A8"/>
    <w:rsid w:val="007B0925"/>
    <w:rsid w:val="007C1EF3"/>
    <w:rsid w:val="007D5A77"/>
    <w:rsid w:val="007D7F7A"/>
    <w:rsid w:val="007E3337"/>
    <w:rsid w:val="007E34C8"/>
    <w:rsid w:val="007E49CC"/>
    <w:rsid w:val="007E6C5F"/>
    <w:rsid w:val="007F6A42"/>
    <w:rsid w:val="00803644"/>
    <w:rsid w:val="00810868"/>
    <w:rsid w:val="00810883"/>
    <w:rsid w:val="00820025"/>
    <w:rsid w:val="00830036"/>
    <w:rsid w:val="0084755E"/>
    <w:rsid w:val="00851756"/>
    <w:rsid w:val="00867E82"/>
    <w:rsid w:val="0088729A"/>
    <w:rsid w:val="0089356C"/>
    <w:rsid w:val="008A0122"/>
    <w:rsid w:val="008B458A"/>
    <w:rsid w:val="008B6085"/>
    <w:rsid w:val="008C6E3C"/>
    <w:rsid w:val="008C7FEF"/>
    <w:rsid w:val="008D5E7F"/>
    <w:rsid w:val="008D61D1"/>
    <w:rsid w:val="008E08C7"/>
    <w:rsid w:val="008F1891"/>
    <w:rsid w:val="008F1D67"/>
    <w:rsid w:val="008F39FB"/>
    <w:rsid w:val="0090220E"/>
    <w:rsid w:val="00904F8D"/>
    <w:rsid w:val="009134FC"/>
    <w:rsid w:val="0092156A"/>
    <w:rsid w:val="00921AD8"/>
    <w:rsid w:val="00922F45"/>
    <w:rsid w:val="009260DF"/>
    <w:rsid w:val="00934E38"/>
    <w:rsid w:val="00936877"/>
    <w:rsid w:val="00942EF5"/>
    <w:rsid w:val="00946BFB"/>
    <w:rsid w:val="00956C5C"/>
    <w:rsid w:val="00960112"/>
    <w:rsid w:val="0097360D"/>
    <w:rsid w:val="00973C75"/>
    <w:rsid w:val="00980BEB"/>
    <w:rsid w:val="00981F73"/>
    <w:rsid w:val="00991EBF"/>
    <w:rsid w:val="00995968"/>
    <w:rsid w:val="009A0361"/>
    <w:rsid w:val="009A0A09"/>
    <w:rsid w:val="009B58D1"/>
    <w:rsid w:val="009C0666"/>
    <w:rsid w:val="009C1366"/>
    <w:rsid w:val="009D29DE"/>
    <w:rsid w:val="009E2D52"/>
    <w:rsid w:val="009E7656"/>
    <w:rsid w:val="009F03E7"/>
    <w:rsid w:val="009F7286"/>
    <w:rsid w:val="00A1080F"/>
    <w:rsid w:val="00A211C8"/>
    <w:rsid w:val="00A3364A"/>
    <w:rsid w:val="00A46BA1"/>
    <w:rsid w:val="00A52634"/>
    <w:rsid w:val="00A53F42"/>
    <w:rsid w:val="00A639EF"/>
    <w:rsid w:val="00A77361"/>
    <w:rsid w:val="00A77793"/>
    <w:rsid w:val="00A77DDC"/>
    <w:rsid w:val="00A82E6D"/>
    <w:rsid w:val="00A91831"/>
    <w:rsid w:val="00A91B4D"/>
    <w:rsid w:val="00A92E1F"/>
    <w:rsid w:val="00A93D51"/>
    <w:rsid w:val="00A96DB0"/>
    <w:rsid w:val="00A97C83"/>
    <w:rsid w:val="00AB67FF"/>
    <w:rsid w:val="00AC15ED"/>
    <w:rsid w:val="00AC41B1"/>
    <w:rsid w:val="00AC5425"/>
    <w:rsid w:val="00AC6A5F"/>
    <w:rsid w:val="00AD3301"/>
    <w:rsid w:val="00AD340B"/>
    <w:rsid w:val="00AD708C"/>
    <w:rsid w:val="00AD71DC"/>
    <w:rsid w:val="00AF06F1"/>
    <w:rsid w:val="00B04662"/>
    <w:rsid w:val="00B04694"/>
    <w:rsid w:val="00B0698E"/>
    <w:rsid w:val="00B17F2F"/>
    <w:rsid w:val="00B20588"/>
    <w:rsid w:val="00B33C50"/>
    <w:rsid w:val="00B35417"/>
    <w:rsid w:val="00B47FDF"/>
    <w:rsid w:val="00B62D7C"/>
    <w:rsid w:val="00B65132"/>
    <w:rsid w:val="00B66476"/>
    <w:rsid w:val="00B82D0B"/>
    <w:rsid w:val="00B97E47"/>
    <w:rsid w:val="00BA3763"/>
    <w:rsid w:val="00BB0A56"/>
    <w:rsid w:val="00BB282B"/>
    <w:rsid w:val="00BC2AB9"/>
    <w:rsid w:val="00BC376C"/>
    <w:rsid w:val="00BD108E"/>
    <w:rsid w:val="00BD670D"/>
    <w:rsid w:val="00BD6B61"/>
    <w:rsid w:val="00BD6DB6"/>
    <w:rsid w:val="00BF6EC0"/>
    <w:rsid w:val="00C07F44"/>
    <w:rsid w:val="00C12EE4"/>
    <w:rsid w:val="00C147C9"/>
    <w:rsid w:val="00C27BF2"/>
    <w:rsid w:val="00C36C7A"/>
    <w:rsid w:val="00C36FE1"/>
    <w:rsid w:val="00C4639C"/>
    <w:rsid w:val="00C51FAF"/>
    <w:rsid w:val="00C52E09"/>
    <w:rsid w:val="00C552FE"/>
    <w:rsid w:val="00C56B5A"/>
    <w:rsid w:val="00C633F8"/>
    <w:rsid w:val="00C83D59"/>
    <w:rsid w:val="00C92EBE"/>
    <w:rsid w:val="00C9635F"/>
    <w:rsid w:val="00C975F3"/>
    <w:rsid w:val="00CA1F58"/>
    <w:rsid w:val="00CA6977"/>
    <w:rsid w:val="00CB4956"/>
    <w:rsid w:val="00CB7DFD"/>
    <w:rsid w:val="00CE1361"/>
    <w:rsid w:val="00CE3B45"/>
    <w:rsid w:val="00CE3E62"/>
    <w:rsid w:val="00CF0511"/>
    <w:rsid w:val="00CF385C"/>
    <w:rsid w:val="00CF59F5"/>
    <w:rsid w:val="00D00414"/>
    <w:rsid w:val="00D01290"/>
    <w:rsid w:val="00D0210D"/>
    <w:rsid w:val="00D028C5"/>
    <w:rsid w:val="00D052B8"/>
    <w:rsid w:val="00D2173F"/>
    <w:rsid w:val="00D229F5"/>
    <w:rsid w:val="00D31210"/>
    <w:rsid w:val="00D32B48"/>
    <w:rsid w:val="00D368A4"/>
    <w:rsid w:val="00D420EB"/>
    <w:rsid w:val="00D540C8"/>
    <w:rsid w:val="00D567C6"/>
    <w:rsid w:val="00D603FB"/>
    <w:rsid w:val="00D65AB3"/>
    <w:rsid w:val="00D729A6"/>
    <w:rsid w:val="00D86E1B"/>
    <w:rsid w:val="00D93DF1"/>
    <w:rsid w:val="00DA0A33"/>
    <w:rsid w:val="00DB5070"/>
    <w:rsid w:val="00DC1AF9"/>
    <w:rsid w:val="00DC294A"/>
    <w:rsid w:val="00DD3AEB"/>
    <w:rsid w:val="00DD6052"/>
    <w:rsid w:val="00DE0B98"/>
    <w:rsid w:val="00DE381C"/>
    <w:rsid w:val="00DE593D"/>
    <w:rsid w:val="00DF3BEB"/>
    <w:rsid w:val="00DF4CE3"/>
    <w:rsid w:val="00E03130"/>
    <w:rsid w:val="00E03658"/>
    <w:rsid w:val="00E107CC"/>
    <w:rsid w:val="00E168C6"/>
    <w:rsid w:val="00E275FA"/>
    <w:rsid w:val="00E278CE"/>
    <w:rsid w:val="00E27B15"/>
    <w:rsid w:val="00E3190A"/>
    <w:rsid w:val="00E33D12"/>
    <w:rsid w:val="00E440A8"/>
    <w:rsid w:val="00E46D82"/>
    <w:rsid w:val="00E576F4"/>
    <w:rsid w:val="00E76130"/>
    <w:rsid w:val="00E900C5"/>
    <w:rsid w:val="00E90227"/>
    <w:rsid w:val="00E91232"/>
    <w:rsid w:val="00E953FC"/>
    <w:rsid w:val="00EB55B0"/>
    <w:rsid w:val="00EC1AB4"/>
    <w:rsid w:val="00EC50CF"/>
    <w:rsid w:val="00EC5EE4"/>
    <w:rsid w:val="00EC6427"/>
    <w:rsid w:val="00EC7B25"/>
    <w:rsid w:val="00ED289B"/>
    <w:rsid w:val="00ED5573"/>
    <w:rsid w:val="00EE1D67"/>
    <w:rsid w:val="00EE2322"/>
    <w:rsid w:val="00EE40D1"/>
    <w:rsid w:val="00EE68DF"/>
    <w:rsid w:val="00EF5CE3"/>
    <w:rsid w:val="00F06A8A"/>
    <w:rsid w:val="00F06B4D"/>
    <w:rsid w:val="00F102EA"/>
    <w:rsid w:val="00F23152"/>
    <w:rsid w:val="00F23FA8"/>
    <w:rsid w:val="00F4599E"/>
    <w:rsid w:val="00F51203"/>
    <w:rsid w:val="00F6691E"/>
    <w:rsid w:val="00F673E5"/>
    <w:rsid w:val="00F70910"/>
    <w:rsid w:val="00F74921"/>
    <w:rsid w:val="00F83363"/>
    <w:rsid w:val="00F847C4"/>
    <w:rsid w:val="00F8793E"/>
    <w:rsid w:val="00F91373"/>
    <w:rsid w:val="00F913E9"/>
    <w:rsid w:val="00F966D4"/>
    <w:rsid w:val="00FA1943"/>
    <w:rsid w:val="00FA3AB4"/>
    <w:rsid w:val="00FA43CA"/>
    <w:rsid w:val="00FA4460"/>
    <w:rsid w:val="00FC739E"/>
    <w:rsid w:val="00FF02CE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99"/>
    <w:semiHidden/>
    <w:rsid w:val="00203A00"/>
    <w:pPr>
      <w:jc w:val="both"/>
    </w:pPr>
    <w:rPr>
      <w:rFonts w:eastAsiaTheme="minorEastAsia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D0041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D0041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D0041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D0041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D0041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fr-FR" w:eastAsia="fr-FR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D0041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D00414"/>
    <w:pPr>
      <w:outlineLvl w:val="6"/>
    </w:pPr>
    <w:rPr>
      <w:rFonts w:asciiTheme="majorHAnsi" w:eastAsiaTheme="majorEastAsia" w:hAnsiTheme="majorHAnsi" w:cstheme="majorBidi"/>
      <w:i/>
      <w:iCs/>
      <w:sz w:val="22"/>
      <w:lang w:val="fr-FR" w:eastAsia="fr-FR"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D00414"/>
    <w:pPr>
      <w:outlineLvl w:val="7"/>
    </w:pPr>
    <w:rPr>
      <w:rFonts w:asciiTheme="majorHAnsi" w:eastAsiaTheme="majorEastAsia" w:hAnsiTheme="majorHAnsi" w:cstheme="majorBidi"/>
      <w:sz w:val="20"/>
      <w:szCs w:val="20"/>
      <w:lang w:val="fr-FR" w:eastAsia="fr-FR"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D0041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fr-FR" w:eastAsia="fr-F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HRHeading1">
    <w:name w:val="ECHR_Heading_1"/>
    <w:aliases w:val="Ju_H_I_Roman"/>
    <w:basedOn w:val="Heading1"/>
    <w:next w:val="ECHRPara"/>
    <w:link w:val="JuHIRomanChar"/>
    <w:qFormat/>
    <w:rsid w:val="00D0041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  <w:lang w:val="fr-FR" w:eastAsia="fr-FR"/>
    </w:r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D00414"/>
    <w:pPr>
      <w:keepNext/>
      <w:keepLines/>
      <w:spacing w:before="720" w:after="240"/>
      <w:outlineLvl w:val="0"/>
    </w:pPr>
    <w:rPr>
      <w:rFonts w:asciiTheme="majorHAnsi" w:hAnsiTheme="majorHAnsi"/>
      <w:sz w:val="28"/>
      <w:lang w:val="fr-FR" w:eastAsia="fr-FR"/>
    </w:rPr>
  </w:style>
  <w:style w:type="paragraph" w:customStyle="1" w:styleId="ECHRPara">
    <w:name w:val="ECHR_Para"/>
    <w:aliases w:val="Ju_Para"/>
    <w:basedOn w:val="Normal"/>
    <w:link w:val="JuParaCar"/>
    <w:uiPriority w:val="12"/>
    <w:qFormat/>
    <w:rsid w:val="00203A00"/>
    <w:pPr>
      <w:ind w:firstLine="284"/>
    </w:pPr>
  </w:style>
  <w:style w:type="character" w:customStyle="1" w:styleId="JuParaCar">
    <w:name w:val="Ju_Para Car"/>
    <w:link w:val="ECHRPara"/>
    <w:uiPriority w:val="12"/>
    <w:rsid w:val="009D29DE"/>
    <w:rPr>
      <w:rFonts w:eastAsiaTheme="minorEastAsia"/>
      <w:sz w:val="24"/>
      <w:lang w:val="en-US" w:eastAsia="en-US"/>
    </w:rPr>
  </w:style>
  <w:style w:type="character" w:customStyle="1" w:styleId="JuHIRomanChar">
    <w:name w:val="Ju_H_I_Roman Char"/>
    <w:link w:val="ECHRHeading1"/>
    <w:rsid w:val="00D31210"/>
    <w:rPr>
      <w:rFonts w:asciiTheme="majorHAnsi" w:eastAsiaTheme="majorEastAsia" w:hAnsiTheme="majorHAnsi" w:cstheme="majorBidi"/>
      <w:bCs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rsid w:val="00D00414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paragraph" w:customStyle="1" w:styleId="ECHRDecisionBody">
    <w:name w:val="ECHR_Decision_Body"/>
    <w:aliases w:val="Ju_Judges"/>
    <w:basedOn w:val="Normal"/>
    <w:link w:val="JuJudgesChar"/>
    <w:uiPriority w:val="11"/>
    <w:qFormat/>
    <w:rsid w:val="00D00414"/>
    <w:pPr>
      <w:tabs>
        <w:tab w:val="left" w:pos="567"/>
        <w:tab w:val="left" w:pos="1134"/>
      </w:tabs>
      <w:jc w:val="left"/>
    </w:pPr>
    <w:rPr>
      <w:lang w:val="fr-FR" w:eastAsia="fr-FR"/>
    </w:rPr>
  </w:style>
  <w:style w:type="character" w:customStyle="1" w:styleId="JuJudgesChar">
    <w:name w:val="Ju_Judges Char"/>
    <w:link w:val="ECHRDecisionBody"/>
    <w:uiPriority w:val="11"/>
    <w:rsid w:val="00287191"/>
    <w:rPr>
      <w:rFonts w:eastAsiaTheme="minorEastAsia"/>
      <w:sz w:val="24"/>
    </w:rPr>
  </w:style>
  <w:style w:type="character" w:styleId="Strong">
    <w:name w:val="Strong"/>
    <w:uiPriority w:val="99"/>
    <w:semiHidden/>
    <w:qFormat/>
    <w:rsid w:val="00D00414"/>
    <w:rPr>
      <w:b/>
      <w:bCs/>
    </w:rPr>
  </w:style>
  <w:style w:type="paragraph" w:customStyle="1" w:styleId="ECHRHeading2">
    <w:name w:val="ECHR_Heading_2"/>
    <w:aliases w:val="Ju_H_A"/>
    <w:basedOn w:val="Heading2"/>
    <w:next w:val="ECHRPara"/>
    <w:qFormat/>
    <w:rsid w:val="00D0041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  <w:lang w:val="fr-FR" w:eastAsia="fr-FR"/>
    </w:rPr>
  </w:style>
  <w:style w:type="paragraph" w:customStyle="1" w:styleId="ECHRParaQuote">
    <w:name w:val="ECHR_Para_Quote"/>
    <w:aliases w:val="Ju_Quot"/>
    <w:basedOn w:val="Normal"/>
    <w:uiPriority w:val="14"/>
    <w:qFormat/>
    <w:rsid w:val="00D00414"/>
    <w:pPr>
      <w:spacing w:before="120" w:after="120"/>
      <w:ind w:left="425" w:firstLine="142"/>
    </w:pPr>
    <w:rPr>
      <w:sz w:val="20"/>
      <w:lang w:val="fr-FR" w:eastAsia="fr-FR"/>
    </w:rPr>
  </w:style>
  <w:style w:type="paragraph" w:customStyle="1" w:styleId="JuSigned">
    <w:name w:val="Ju_Signed"/>
    <w:basedOn w:val="Normal"/>
    <w:next w:val="JuParaLast"/>
    <w:qFormat/>
    <w:rsid w:val="00D00414"/>
    <w:pPr>
      <w:tabs>
        <w:tab w:val="center" w:pos="851"/>
        <w:tab w:val="center" w:pos="6407"/>
      </w:tabs>
      <w:spacing w:before="720"/>
      <w:jc w:val="left"/>
    </w:pPr>
    <w:rPr>
      <w:lang w:val="fr-FR" w:eastAsia="fr-FR"/>
    </w:rPr>
  </w:style>
  <w:style w:type="paragraph" w:customStyle="1" w:styleId="JuParaLast">
    <w:name w:val="Ju_Para_Last"/>
    <w:basedOn w:val="Normal"/>
    <w:next w:val="ECHRPara"/>
    <w:uiPriority w:val="30"/>
    <w:qFormat/>
    <w:rsid w:val="00D00414"/>
    <w:pPr>
      <w:keepNext/>
      <w:keepLines/>
      <w:spacing w:before="240"/>
      <w:ind w:firstLine="284"/>
    </w:pPr>
    <w:rPr>
      <w:lang w:val="fr-FR" w:eastAsia="fr-FR"/>
    </w:rPr>
  </w:style>
  <w:style w:type="paragraph" w:customStyle="1" w:styleId="JuCase">
    <w:name w:val="Ju_Case"/>
    <w:basedOn w:val="Normal"/>
    <w:next w:val="ECHRPara"/>
    <w:uiPriority w:val="10"/>
    <w:rsid w:val="00D00414"/>
    <w:pPr>
      <w:ind w:firstLine="284"/>
    </w:pPr>
    <w:rPr>
      <w:b/>
    </w:rPr>
  </w:style>
  <w:style w:type="paragraph" w:customStyle="1" w:styleId="JuList">
    <w:name w:val="Ju_List"/>
    <w:basedOn w:val="Normal"/>
    <w:uiPriority w:val="28"/>
    <w:qFormat/>
    <w:rsid w:val="00D00414"/>
    <w:pPr>
      <w:ind w:left="340" w:hanging="340"/>
    </w:pPr>
    <w:rPr>
      <w:lang w:val="fr-FR" w:eastAsia="fr-FR"/>
    </w:rPr>
  </w:style>
  <w:style w:type="paragraph" w:customStyle="1" w:styleId="JuCourt">
    <w:name w:val="Ju_Court"/>
    <w:basedOn w:val="Normal"/>
    <w:next w:val="Normal"/>
    <w:uiPriority w:val="16"/>
    <w:qFormat/>
    <w:rsid w:val="00D0041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val="fr-FR" w:eastAsia="fr-FR" w:bidi="en-US"/>
    </w:rPr>
  </w:style>
  <w:style w:type="paragraph" w:styleId="FootnoteText">
    <w:name w:val="footnote text"/>
    <w:basedOn w:val="Normal"/>
    <w:link w:val="FootnoteTextChar"/>
    <w:uiPriority w:val="99"/>
    <w:semiHidden/>
    <w:rsid w:val="00D004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0041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D00414"/>
    <w:pPr>
      <w:tabs>
        <w:tab w:val="center" w:pos="4536"/>
        <w:tab w:val="right" w:pos="9072"/>
      </w:tabs>
    </w:pPr>
    <w:rPr>
      <w:rFonts w:eastAsiaTheme="minorHAnsi"/>
    </w:rPr>
  </w:style>
  <w:style w:type="character" w:styleId="PageNumber">
    <w:name w:val="page number"/>
    <w:uiPriority w:val="99"/>
    <w:semiHidden/>
    <w:rsid w:val="004219F0"/>
    <w:rPr>
      <w:rFonts w:ascii="Times New Roman" w:hAnsi="Times New Roman" w:cs="Times New Roman"/>
      <w:sz w:val="18"/>
    </w:rPr>
  </w:style>
  <w:style w:type="paragraph" w:customStyle="1" w:styleId="JuLista">
    <w:name w:val="Ju_List_a"/>
    <w:basedOn w:val="JuList"/>
    <w:uiPriority w:val="28"/>
    <w:qFormat/>
    <w:rsid w:val="00D00414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D00414"/>
    <w:pPr>
      <w:ind w:left="794"/>
    </w:pPr>
    <w:rPr>
      <w:lang w:val="fr-FR" w:eastAsia="fr-FR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00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D00414"/>
    <w:rPr>
      <w:color w:val="0072BC" w:themeColor="hyperlink"/>
      <w:u w:val="single"/>
    </w:rPr>
  </w:style>
  <w:style w:type="character" w:styleId="EndnoteReference">
    <w:name w:val="endnote reference"/>
    <w:uiPriority w:val="99"/>
    <w:semiHidden/>
    <w:rsid w:val="004219F0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uiPriority w:val="99"/>
    <w:semiHidden/>
    <w:rsid w:val="004219F0"/>
    <w:rPr>
      <w:sz w:val="20"/>
    </w:rPr>
  </w:style>
  <w:style w:type="character" w:styleId="FollowedHyperlink">
    <w:name w:val="FollowedHyperlink"/>
    <w:uiPriority w:val="99"/>
    <w:semiHidden/>
    <w:rsid w:val="004219F0"/>
    <w:rPr>
      <w:rFonts w:ascii="Times New Roman" w:hAnsi="Times New Roman" w:cs="Times New Roman"/>
      <w:color w:val="800080"/>
      <w:u w:val="single"/>
    </w:rPr>
  </w:style>
  <w:style w:type="paragraph" w:styleId="ListBullet">
    <w:name w:val="List Bullet"/>
    <w:basedOn w:val="Normal"/>
    <w:uiPriority w:val="99"/>
    <w:semiHidden/>
    <w:rsid w:val="00387F24"/>
    <w:pPr>
      <w:numPr>
        <w:numId w:val="1"/>
      </w:numPr>
    </w:pPr>
  </w:style>
  <w:style w:type="character" w:customStyle="1" w:styleId="JuNames">
    <w:name w:val="Ju_Names"/>
    <w:rsid w:val="004219F0"/>
    <w:rPr>
      <w:rFonts w:ascii="Times New Roman" w:hAnsi="Times New Roman" w:cs="Times New Roman"/>
      <w:smallCaps/>
    </w:rPr>
  </w:style>
  <w:style w:type="paragraph" w:styleId="CommentSubject">
    <w:name w:val="annotation subject"/>
    <w:basedOn w:val="CommentText"/>
    <w:next w:val="CommentText"/>
    <w:uiPriority w:val="99"/>
    <w:semiHidden/>
    <w:rsid w:val="00E27B15"/>
    <w:rPr>
      <w:b/>
      <w:bCs/>
    </w:rPr>
  </w:style>
  <w:style w:type="paragraph" w:styleId="DocumentMap">
    <w:name w:val="Document Map"/>
    <w:basedOn w:val="Normal"/>
    <w:uiPriority w:val="99"/>
    <w:semiHidden/>
    <w:rsid w:val="00B33C50"/>
    <w:pPr>
      <w:shd w:val="clear" w:color="auto" w:fill="000080"/>
    </w:pPr>
    <w:rPr>
      <w:rFonts w:ascii="Tahoma" w:hAnsi="Tahoma" w:cs="Tahoma"/>
      <w:sz w:val="20"/>
    </w:rPr>
  </w:style>
  <w:style w:type="character" w:customStyle="1" w:styleId="JuITMark">
    <w:name w:val="Ju_ITMark"/>
    <w:basedOn w:val="DefaultParagraphFont"/>
    <w:uiPriority w:val="38"/>
    <w:qFormat/>
    <w:rsid w:val="00D00414"/>
    <w:rPr>
      <w:vanish/>
      <w:color w:val="339966"/>
      <w:sz w:val="1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D00414"/>
    <w:rPr>
      <w:rFonts w:asciiTheme="majorHAnsi" w:eastAsiaTheme="majorEastAsia" w:hAnsiTheme="majorHAnsi" w:cstheme="majorBidi"/>
      <w:b/>
      <w:bCs/>
      <w:color w:val="333333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00414"/>
    <w:rPr>
      <w:rFonts w:asciiTheme="majorHAnsi" w:eastAsiaTheme="majorEastAsia" w:hAnsiTheme="majorHAnsi" w:cstheme="majorBidi"/>
      <w:b/>
      <w:bCs/>
      <w:color w:val="4D4D4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00414"/>
    <w:rPr>
      <w:rFonts w:asciiTheme="majorHAnsi" w:eastAsiaTheme="majorEastAsia" w:hAnsiTheme="majorHAnsi" w:cstheme="majorBidi"/>
      <w:b/>
      <w:bCs/>
      <w:color w:val="5F5F5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00414"/>
    <w:rPr>
      <w:rFonts w:asciiTheme="majorHAnsi" w:eastAsiaTheme="majorEastAsia" w:hAnsiTheme="majorHAnsi" w:cstheme="majorBidi"/>
      <w:b/>
      <w:bCs/>
      <w:i/>
      <w:iCs/>
      <w:color w:val="777777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00414"/>
    <w:rPr>
      <w:rFonts w:asciiTheme="majorHAnsi" w:eastAsiaTheme="majorEastAsia" w:hAnsiTheme="majorHAnsi" w:cstheme="majorBidi"/>
      <w:b/>
      <w:bCs/>
      <w:color w:val="80808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0041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0041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0041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0041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14"/>
    <w:rPr>
      <w:rFonts w:ascii="Tahoma" w:eastAsiaTheme="minorEastAsia" w:hAnsi="Tahoma" w:cs="Tahoma"/>
      <w:sz w:val="16"/>
      <w:szCs w:val="16"/>
      <w:lang w:val="en-US" w:eastAsia="en-US"/>
    </w:rPr>
  </w:style>
  <w:style w:type="character" w:styleId="BookTitle">
    <w:name w:val="Book Title"/>
    <w:uiPriority w:val="99"/>
    <w:semiHidden/>
    <w:qFormat/>
    <w:rsid w:val="00D00414"/>
    <w:rPr>
      <w:i/>
      <w:iCs/>
      <w:smallCaps/>
      <w:spacing w:val="5"/>
    </w:rPr>
  </w:style>
  <w:style w:type="paragraph" w:styleId="NoSpacing">
    <w:name w:val="No Spacing"/>
    <w:basedOn w:val="Normal"/>
    <w:link w:val="NoSpacingChar"/>
    <w:uiPriority w:val="99"/>
    <w:semiHidden/>
    <w:qFormat/>
    <w:rsid w:val="00D00414"/>
    <w:rPr>
      <w:sz w:val="22"/>
      <w:lang w:val="fr-FR" w:eastAsia="fr-FR"/>
    </w:rPr>
  </w:style>
  <w:style w:type="character" w:customStyle="1" w:styleId="NoSpacingChar">
    <w:name w:val="No Spacing Char"/>
    <w:basedOn w:val="DefaultParagraphFont"/>
    <w:link w:val="NoSpacing"/>
    <w:semiHidden/>
    <w:rsid w:val="00D00414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D0041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fr-FR" w:eastAsia="fr-FR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0041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D0041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fr-FR" w:eastAsia="fr-FR"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0041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customStyle="1" w:styleId="ECHRFooter">
    <w:name w:val="ECHR_Footer"/>
    <w:aliases w:val="Footer_ECHR"/>
    <w:basedOn w:val="Footer"/>
    <w:uiPriority w:val="57"/>
    <w:semiHidden/>
    <w:rsid w:val="00D00414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D00414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D00414"/>
    <w:rPr>
      <w:sz w:val="24"/>
      <w:lang w:val="en-US" w:eastAsia="en-US"/>
    </w:rPr>
  </w:style>
  <w:style w:type="paragraph" w:customStyle="1" w:styleId="ECHRHeader">
    <w:name w:val="ECHR_Header"/>
    <w:aliases w:val="Ju_Header"/>
    <w:basedOn w:val="Header"/>
    <w:uiPriority w:val="4"/>
    <w:qFormat/>
    <w:rsid w:val="00D00414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  <w:lang w:val="fr-FR" w:eastAsia="fr-FR"/>
    </w:rPr>
  </w:style>
  <w:style w:type="character" w:styleId="SubtleEmphasis">
    <w:name w:val="Subtle Emphasis"/>
    <w:uiPriority w:val="99"/>
    <w:semiHidden/>
    <w:qFormat/>
    <w:rsid w:val="00D00414"/>
    <w:rPr>
      <w:i/>
      <w:iCs/>
    </w:rPr>
  </w:style>
  <w:style w:type="character" w:styleId="Emphasis">
    <w:name w:val="Emphasis"/>
    <w:uiPriority w:val="99"/>
    <w:semiHidden/>
    <w:qFormat/>
    <w:rsid w:val="00D00414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D00414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414"/>
    <w:rPr>
      <w:rFonts w:eastAsiaTheme="minorEastAsia"/>
      <w:sz w:val="20"/>
      <w:szCs w:val="20"/>
      <w:lang w:val="en-US" w:eastAsia="en-US"/>
    </w:rPr>
  </w:style>
  <w:style w:type="character" w:styleId="IntenseEmphasis">
    <w:name w:val="Intense Emphasis"/>
    <w:uiPriority w:val="99"/>
    <w:semiHidden/>
    <w:qFormat/>
    <w:rsid w:val="00D0041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D0041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fr-FR" w:eastAsia="fr-FR"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D00414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D00414"/>
    <w:rPr>
      <w:smallCaps/>
      <w:spacing w:val="5"/>
      <w:u w:val="single"/>
    </w:rPr>
  </w:style>
  <w:style w:type="paragraph" w:customStyle="1" w:styleId="JuAppQuestion">
    <w:name w:val="Ju_App_Question"/>
    <w:basedOn w:val="Normal"/>
    <w:uiPriority w:val="5"/>
    <w:semiHidden/>
    <w:rsid w:val="00D00414"/>
    <w:pPr>
      <w:numPr>
        <w:numId w:val="2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D00414"/>
  </w:style>
  <w:style w:type="paragraph" w:customStyle="1" w:styleId="JuParaSub">
    <w:name w:val="Ju_Para_Sub"/>
    <w:basedOn w:val="ECHRPara"/>
    <w:uiPriority w:val="13"/>
    <w:qFormat/>
    <w:rsid w:val="00D00414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D00414"/>
  </w:style>
  <w:style w:type="paragraph" w:customStyle="1" w:styleId="OpiQuot">
    <w:name w:val="Opi_Quot"/>
    <w:basedOn w:val="ECHRParaQuote"/>
    <w:uiPriority w:val="48"/>
    <w:qFormat/>
    <w:rsid w:val="00D00414"/>
  </w:style>
  <w:style w:type="paragraph" w:customStyle="1" w:styleId="OpiQuotSub">
    <w:name w:val="Opi_Quot_Sub"/>
    <w:basedOn w:val="JuQuotSub"/>
    <w:uiPriority w:val="49"/>
    <w:qFormat/>
    <w:rsid w:val="00D00414"/>
  </w:style>
  <w:style w:type="paragraph" w:styleId="ListParagraph">
    <w:name w:val="List Paragraph"/>
    <w:basedOn w:val="Normal"/>
    <w:uiPriority w:val="99"/>
    <w:semiHidden/>
    <w:qFormat/>
    <w:rsid w:val="00D00414"/>
    <w:pPr>
      <w:ind w:left="720"/>
      <w:contextualSpacing/>
    </w:pPr>
    <w:rPr>
      <w:lang w:val="fr-FR" w:eastAsia="fr-FR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D00414"/>
    <w:pPr>
      <w:spacing w:before="200"/>
      <w:ind w:left="360" w:right="360"/>
    </w:pPr>
    <w:rPr>
      <w:i/>
      <w:iCs/>
      <w:sz w:val="22"/>
      <w:lang w:val="fr-FR" w:eastAsia="fr-FR"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D00414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D00414"/>
    <w:rPr>
      <w:smallCaps/>
    </w:rPr>
  </w:style>
  <w:style w:type="table" w:styleId="TableGrid">
    <w:name w:val="Table Grid"/>
    <w:basedOn w:val="TableNormal"/>
    <w:uiPriority w:val="99"/>
    <w:semiHidden/>
    <w:rsid w:val="00D00414"/>
    <w:rPr>
      <w:rFonts w:eastAsiaTheme="minorEastAsi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D00414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D00414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D00414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D00414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D00414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D00414"/>
    <w:pPr>
      <w:outlineLvl w:val="9"/>
    </w:pPr>
    <w:rPr>
      <w:color w:val="474747" w:themeColor="accent3" w:themeShade="BF"/>
      <w:lang w:val="fr-FR" w:eastAsia="fr-FR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D0041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val="fr-FR" w:eastAsia="fr-FR" w:bidi="en-US"/>
    </w:rPr>
  </w:style>
  <w:style w:type="paragraph" w:customStyle="1" w:styleId="ECHRTitleCentre2">
    <w:name w:val="ECHR_Title_Centre_2"/>
    <w:aliases w:val="Dec_H_Case"/>
    <w:basedOn w:val="Normal"/>
    <w:next w:val="ECHRPara"/>
    <w:uiPriority w:val="8"/>
    <w:semiHidden/>
    <w:rsid w:val="00D00414"/>
    <w:pPr>
      <w:spacing w:after="240"/>
      <w:jc w:val="center"/>
      <w:outlineLvl w:val="0"/>
    </w:pPr>
    <w:rPr>
      <w:rFonts w:asciiTheme="majorHAnsi" w:hAnsiTheme="majorHAnsi"/>
      <w:i/>
    </w:rPr>
  </w:style>
  <w:style w:type="paragraph" w:customStyle="1" w:styleId="JuTitle">
    <w:name w:val="Ju_Title"/>
    <w:basedOn w:val="Normal"/>
    <w:next w:val="ECHRPara"/>
    <w:uiPriority w:val="3"/>
    <w:semiHidden/>
    <w:rsid w:val="00D0041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D00414"/>
    <w:pPr>
      <w:keepNext/>
      <w:keepLines/>
      <w:spacing w:after="240"/>
      <w:jc w:val="center"/>
      <w:outlineLvl w:val="0"/>
    </w:pPr>
    <w:rPr>
      <w:rFonts w:asciiTheme="majorHAnsi" w:hAnsiTheme="majorHAnsi"/>
      <w:sz w:val="28"/>
      <w:lang w:val="fr-FR" w:eastAsia="fr-FR"/>
    </w:rPr>
  </w:style>
  <w:style w:type="paragraph" w:customStyle="1" w:styleId="JuQuotSub">
    <w:name w:val="Ju_Quot_Sub"/>
    <w:basedOn w:val="ECHRParaQuote"/>
    <w:uiPriority w:val="15"/>
    <w:qFormat/>
    <w:rsid w:val="00D00414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D00414"/>
    <w:pPr>
      <w:tabs>
        <w:tab w:val="center" w:pos="6407"/>
      </w:tabs>
      <w:spacing w:before="720"/>
      <w:jc w:val="right"/>
    </w:pPr>
    <w:rPr>
      <w:lang w:val="fr-FR" w:eastAsia="fr-FR"/>
    </w:rPr>
  </w:style>
  <w:style w:type="paragraph" w:customStyle="1" w:styleId="OpiHA">
    <w:name w:val="Opi_H_A"/>
    <w:basedOn w:val="ECHRHeading1"/>
    <w:next w:val="OpiPara"/>
    <w:uiPriority w:val="41"/>
    <w:qFormat/>
    <w:rsid w:val="00D00414"/>
    <w:pPr>
      <w:tabs>
        <w:tab w:val="clear" w:pos="357"/>
      </w:tabs>
      <w:outlineLvl w:val="1"/>
    </w:pPr>
    <w:rPr>
      <w:b/>
    </w:rPr>
  </w:style>
  <w:style w:type="character" w:customStyle="1" w:styleId="JUNAMES0">
    <w:name w:val="JU_NAMES"/>
    <w:uiPriority w:val="17"/>
    <w:qFormat/>
    <w:rsid w:val="00D00414"/>
    <w:rPr>
      <w:caps w:val="0"/>
      <w:smallCaps/>
    </w:rPr>
  </w:style>
  <w:style w:type="paragraph" w:customStyle="1" w:styleId="OpiTranslation">
    <w:name w:val="Opi_Translation"/>
    <w:basedOn w:val="Normal"/>
    <w:next w:val="OpiPara"/>
    <w:uiPriority w:val="40"/>
    <w:qFormat/>
    <w:rsid w:val="00D00414"/>
    <w:pPr>
      <w:jc w:val="center"/>
      <w:outlineLvl w:val="0"/>
    </w:pPr>
    <w:rPr>
      <w:i/>
      <w:lang w:val="fr-FR" w:eastAsia="fr-FR"/>
    </w:rPr>
  </w:style>
  <w:style w:type="paragraph" w:customStyle="1" w:styleId="DecHTitle">
    <w:name w:val="Dec_H_Title"/>
    <w:basedOn w:val="ECHRTitleCentre1"/>
    <w:uiPriority w:val="7"/>
    <w:semiHidden/>
    <w:rsid w:val="00D00414"/>
  </w:style>
  <w:style w:type="paragraph" w:styleId="TOAHeading">
    <w:name w:val="toa heading"/>
    <w:basedOn w:val="Normal"/>
    <w:next w:val="Normal"/>
    <w:uiPriority w:val="99"/>
    <w:semiHidden/>
    <w:rsid w:val="00D00414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D0041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  <w:lang w:val="fr-FR" w:eastAsia="fr-FR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D0041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  <w:lang w:val="fr-FR" w:eastAsia="fr-FR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D0041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D0041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  <w:lang w:val="fr-FR" w:eastAsia="fr-FR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D00414"/>
    <w:pPr>
      <w:keepNext/>
      <w:keepLines/>
      <w:spacing w:before="240" w:after="120"/>
      <w:ind w:left="1236"/>
    </w:pPr>
    <w:rPr>
      <w:sz w:val="20"/>
    </w:rPr>
  </w:style>
  <w:style w:type="paragraph" w:customStyle="1" w:styleId="DecList">
    <w:name w:val="Dec_List"/>
    <w:basedOn w:val="Normal"/>
    <w:uiPriority w:val="9"/>
    <w:semiHidden/>
    <w:rsid w:val="00D00414"/>
    <w:pPr>
      <w:spacing w:before="240"/>
      <w:ind w:left="284"/>
    </w:pPr>
  </w:style>
  <w:style w:type="paragraph" w:customStyle="1" w:styleId="OpiH1">
    <w:name w:val="Opi_H_1"/>
    <w:basedOn w:val="ECHRHeading2"/>
    <w:uiPriority w:val="42"/>
    <w:qFormat/>
    <w:rsid w:val="00D0041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D00414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D00414"/>
    <w:pPr>
      <w:ind w:left="1037" w:hanging="357"/>
      <w:outlineLvl w:val="4"/>
    </w:pPr>
    <w:rPr>
      <w:b w:val="0"/>
      <w:i/>
    </w:rPr>
  </w:style>
  <w:style w:type="numbering" w:styleId="111111">
    <w:name w:val="Outline List 2"/>
    <w:basedOn w:val="NoList"/>
    <w:uiPriority w:val="99"/>
    <w:semiHidden/>
    <w:rsid w:val="000C4043"/>
    <w:pPr>
      <w:numPr>
        <w:numId w:val="3"/>
      </w:numPr>
    </w:pPr>
  </w:style>
  <w:style w:type="numbering" w:styleId="1ai">
    <w:name w:val="Outline List 1"/>
    <w:basedOn w:val="NoList"/>
    <w:uiPriority w:val="99"/>
    <w:semiHidden/>
    <w:rsid w:val="000C4043"/>
    <w:pPr>
      <w:numPr>
        <w:numId w:val="4"/>
      </w:numPr>
    </w:pPr>
  </w:style>
  <w:style w:type="numbering" w:styleId="ArticleSection">
    <w:name w:val="Outline List 3"/>
    <w:basedOn w:val="NoList"/>
    <w:uiPriority w:val="99"/>
    <w:semiHidden/>
    <w:rsid w:val="000C4043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C4043"/>
  </w:style>
  <w:style w:type="paragraph" w:styleId="BlockText">
    <w:name w:val="Block Text"/>
    <w:basedOn w:val="Normal"/>
    <w:uiPriority w:val="99"/>
    <w:semiHidden/>
    <w:rsid w:val="000C4043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0C404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C4043"/>
    <w:rPr>
      <w:rFonts w:eastAsiaTheme="minorEastAsia"/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0C40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C4043"/>
    <w:rPr>
      <w:rFonts w:eastAsiaTheme="minorEastAsia"/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0C40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C4043"/>
    <w:rPr>
      <w:rFonts w:eastAsiaTheme="minorEastAsia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C404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C4043"/>
    <w:rPr>
      <w:rFonts w:eastAsiaTheme="minorEastAsia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0C40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C4043"/>
    <w:rPr>
      <w:rFonts w:eastAsiaTheme="minorEastAsia"/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C404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C4043"/>
    <w:rPr>
      <w:rFonts w:eastAsiaTheme="minorEastAsia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0C40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C4043"/>
    <w:rPr>
      <w:rFonts w:eastAsiaTheme="minorEastAsia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0C40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C4043"/>
    <w:rPr>
      <w:rFonts w:eastAsiaTheme="minorEastAsi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semiHidden/>
    <w:qFormat/>
    <w:rsid w:val="000C4043"/>
    <w:pPr>
      <w:spacing w:after="200"/>
    </w:pPr>
    <w:rPr>
      <w:b/>
      <w:bCs/>
      <w:color w:val="0072BC" w:themeColor="accent1"/>
      <w:sz w:val="18"/>
      <w:szCs w:val="18"/>
      <w:lang w:val="fr-FR" w:eastAsia="fr-FR"/>
    </w:rPr>
  </w:style>
  <w:style w:type="paragraph" w:styleId="Closing">
    <w:name w:val="Closing"/>
    <w:basedOn w:val="Normal"/>
    <w:link w:val="ClosingChar"/>
    <w:uiPriority w:val="99"/>
    <w:semiHidden/>
    <w:rsid w:val="000C4043"/>
    <w:pPr>
      <w:ind w:left="4252"/>
    </w:pPr>
  </w:style>
  <w:style w:type="character" w:customStyle="1" w:styleId="ClosingChar">
    <w:name w:val="Closing Char"/>
    <w:basedOn w:val="DefaultParagraphFont"/>
    <w:link w:val="Closing"/>
    <w:rsid w:val="000C4043"/>
    <w:rPr>
      <w:rFonts w:eastAsiaTheme="minorEastAsia"/>
      <w:sz w:val="24"/>
      <w:lang w:val="en-US" w:eastAsia="en-US"/>
    </w:rPr>
  </w:style>
  <w:style w:type="table" w:styleId="ColorfulGrid">
    <w:name w:val="Colorful Grid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C4043"/>
  </w:style>
  <w:style w:type="character" w:customStyle="1" w:styleId="DateChar">
    <w:name w:val="Date Char"/>
    <w:basedOn w:val="DefaultParagraphFont"/>
    <w:link w:val="Date"/>
    <w:rsid w:val="000C4043"/>
    <w:rPr>
      <w:rFonts w:eastAsiaTheme="minorEastAsia"/>
      <w:sz w:val="24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0C4043"/>
  </w:style>
  <w:style w:type="character" w:customStyle="1" w:styleId="E-mailSignatureChar">
    <w:name w:val="E-mail Signature Char"/>
    <w:basedOn w:val="DefaultParagraphFont"/>
    <w:link w:val="E-mailSignature"/>
    <w:rsid w:val="000C4043"/>
    <w:rPr>
      <w:rFonts w:eastAsiaTheme="minorEastAsia"/>
      <w:sz w:val="24"/>
      <w:lang w:val="en-US" w:eastAsia="en-US"/>
    </w:rPr>
  </w:style>
  <w:style w:type="paragraph" w:styleId="EnvelopeAddress">
    <w:name w:val="envelope address"/>
    <w:basedOn w:val="Normal"/>
    <w:uiPriority w:val="99"/>
    <w:semiHidden/>
    <w:rsid w:val="000C404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0C4043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C4043"/>
  </w:style>
  <w:style w:type="paragraph" w:styleId="HTMLAddress">
    <w:name w:val="HTML Address"/>
    <w:basedOn w:val="Normal"/>
    <w:link w:val="HTMLAddressChar"/>
    <w:uiPriority w:val="99"/>
    <w:semiHidden/>
    <w:rsid w:val="000C404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C4043"/>
    <w:rPr>
      <w:rFonts w:eastAsiaTheme="minorEastAsia"/>
      <w:i/>
      <w:iCs/>
      <w:sz w:val="24"/>
      <w:lang w:val="en-US" w:eastAsia="en-US"/>
    </w:rPr>
  </w:style>
  <w:style w:type="character" w:styleId="HTMLCite">
    <w:name w:val="HTML Cite"/>
    <w:basedOn w:val="DefaultParagraphFont"/>
    <w:uiPriority w:val="99"/>
    <w:semiHidden/>
    <w:rsid w:val="000C4043"/>
    <w:rPr>
      <w:i/>
      <w:iCs/>
    </w:rPr>
  </w:style>
  <w:style w:type="character" w:styleId="HTMLCode">
    <w:name w:val="HTML Code"/>
    <w:basedOn w:val="DefaultParagraphFont"/>
    <w:uiPriority w:val="99"/>
    <w:semiHidden/>
    <w:rsid w:val="000C404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C404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C404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C404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C4043"/>
    <w:rPr>
      <w:rFonts w:ascii="Consolas" w:eastAsiaTheme="minorEastAsia" w:hAnsi="Consolas" w:cs="Consolas"/>
      <w:sz w:val="20"/>
      <w:szCs w:val="20"/>
      <w:lang w:val="en-US" w:eastAsia="en-US"/>
    </w:rPr>
  </w:style>
  <w:style w:type="character" w:styleId="HTMLSample">
    <w:name w:val="HTML Sample"/>
    <w:basedOn w:val="DefaultParagraphFont"/>
    <w:uiPriority w:val="99"/>
    <w:semiHidden/>
    <w:rsid w:val="000C404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C404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C404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0C404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C404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C404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C404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C404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C404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C404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C404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C404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C404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0C404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0C4043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0C4043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0C4043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0C4043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0C4043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0C4043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C4043"/>
  </w:style>
  <w:style w:type="paragraph" w:styleId="List">
    <w:name w:val="List"/>
    <w:basedOn w:val="Normal"/>
    <w:uiPriority w:val="99"/>
    <w:semiHidden/>
    <w:rsid w:val="000C404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C404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C404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C404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C404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C4043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rsid w:val="000C4043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rsid w:val="000C4043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rsid w:val="000C4043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rsid w:val="000C404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C404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C404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C404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C404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C4043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rsid w:val="000C4043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rsid w:val="000C4043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0C4043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0C4043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rsid w:val="000C40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0C4043"/>
    <w:rPr>
      <w:rFonts w:ascii="Consolas" w:eastAsiaTheme="minorEastAsia" w:hAnsi="Consolas" w:cs="Consolas"/>
      <w:sz w:val="20"/>
      <w:szCs w:val="20"/>
      <w:lang w:val="en-US" w:eastAsia="en-US"/>
    </w:rPr>
  </w:style>
  <w:style w:type="table" w:styleId="MediumGrid1">
    <w:name w:val="Medium Grid 1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C40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C4043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rmalWeb">
    <w:name w:val="Normal (Web)"/>
    <w:basedOn w:val="Normal"/>
    <w:uiPriority w:val="99"/>
    <w:semiHidden/>
    <w:rsid w:val="000C404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0C404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C4043"/>
  </w:style>
  <w:style w:type="character" w:customStyle="1" w:styleId="NoteHeadingChar">
    <w:name w:val="Note Heading Char"/>
    <w:basedOn w:val="DefaultParagraphFont"/>
    <w:link w:val="NoteHeading"/>
    <w:rsid w:val="000C4043"/>
    <w:rPr>
      <w:rFonts w:eastAsiaTheme="minorEastAsia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C404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0C404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C4043"/>
    <w:rPr>
      <w:rFonts w:ascii="Consolas" w:eastAsiaTheme="minorEastAsia" w:hAnsi="Consolas" w:cs="Consolas"/>
      <w:sz w:val="21"/>
      <w:szCs w:val="21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C4043"/>
  </w:style>
  <w:style w:type="character" w:customStyle="1" w:styleId="SalutationChar">
    <w:name w:val="Salutation Char"/>
    <w:basedOn w:val="DefaultParagraphFont"/>
    <w:link w:val="Salutation"/>
    <w:rsid w:val="000C4043"/>
    <w:rPr>
      <w:rFonts w:eastAsiaTheme="minorEastAsia"/>
      <w:sz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rsid w:val="000C404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C4043"/>
    <w:rPr>
      <w:rFonts w:eastAsiaTheme="minorEastAsia"/>
      <w:sz w:val="24"/>
      <w:lang w:val="en-US" w:eastAsia="en-US"/>
    </w:rPr>
  </w:style>
  <w:style w:type="table" w:styleId="Table3Deffects1">
    <w:name w:val="Table 3D effects 1"/>
    <w:basedOn w:val="TableNormal"/>
    <w:uiPriority w:val="99"/>
    <w:semiHidden/>
    <w:rsid w:val="000C404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C404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C404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C4043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C4043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C4043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C4043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C4043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C4043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C4043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C4043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C4043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C4043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C4043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C4043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C4043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C4043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C4043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C404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C4043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C404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C404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C4043"/>
  </w:style>
  <w:style w:type="table" w:styleId="TableProfessional">
    <w:name w:val="Table Professional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C404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C404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C4043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0C4043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C4043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C4043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0C404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C404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C404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C4043"/>
    <w:pPr>
      <w:spacing w:after="100"/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99"/>
    <w:semiHidden/>
    <w:rsid w:val="00203A00"/>
    <w:pPr>
      <w:jc w:val="both"/>
    </w:pPr>
    <w:rPr>
      <w:rFonts w:eastAsiaTheme="minorEastAsia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D0041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D0041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D0041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D0041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D0041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fr-FR" w:eastAsia="fr-FR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D0041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D00414"/>
    <w:pPr>
      <w:outlineLvl w:val="6"/>
    </w:pPr>
    <w:rPr>
      <w:rFonts w:asciiTheme="majorHAnsi" w:eastAsiaTheme="majorEastAsia" w:hAnsiTheme="majorHAnsi" w:cstheme="majorBidi"/>
      <w:i/>
      <w:iCs/>
      <w:sz w:val="22"/>
      <w:lang w:val="fr-FR" w:eastAsia="fr-FR"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D00414"/>
    <w:pPr>
      <w:outlineLvl w:val="7"/>
    </w:pPr>
    <w:rPr>
      <w:rFonts w:asciiTheme="majorHAnsi" w:eastAsiaTheme="majorEastAsia" w:hAnsiTheme="majorHAnsi" w:cstheme="majorBidi"/>
      <w:sz w:val="20"/>
      <w:szCs w:val="20"/>
      <w:lang w:val="fr-FR" w:eastAsia="fr-FR"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D0041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fr-FR" w:eastAsia="fr-F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HRHeading1">
    <w:name w:val="ECHR_Heading_1"/>
    <w:aliases w:val="Ju_H_I_Roman"/>
    <w:basedOn w:val="Heading1"/>
    <w:next w:val="ECHRPara"/>
    <w:link w:val="JuHIRomanChar"/>
    <w:qFormat/>
    <w:rsid w:val="00D0041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  <w:lang w:val="fr-FR" w:eastAsia="fr-FR"/>
    </w:r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D00414"/>
    <w:pPr>
      <w:keepNext/>
      <w:keepLines/>
      <w:spacing w:before="720" w:after="240"/>
      <w:outlineLvl w:val="0"/>
    </w:pPr>
    <w:rPr>
      <w:rFonts w:asciiTheme="majorHAnsi" w:hAnsiTheme="majorHAnsi"/>
      <w:sz w:val="28"/>
      <w:lang w:val="fr-FR" w:eastAsia="fr-FR"/>
    </w:rPr>
  </w:style>
  <w:style w:type="paragraph" w:customStyle="1" w:styleId="ECHRPara">
    <w:name w:val="ECHR_Para"/>
    <w:aliases w:val="Ju_Para"/>
    <w:basedOn w:val="Normal"/>
    <w:link w:val="JuParaCar"/>
    <w:uiPriority w:val="12"/>
    <w:qFormat/>
    <w:rsid w:val="00203A00"/>
    <w:pPr>
      <w:ind w:firstLine="284"/>
    </w:pPr>
  </w:style>
  <w:style w:type="character" w:customStyle="1" w:styleId="JuParaCar">
    <w:name w:val="Ju_Para Car"/>
    <w:link w:val="ECHRPara"/>
    <w:uiPriority w:val="12"/>
    <w:rsid w:val="009D29DE"/>
    <w:rPr>
      <w:rFonts w:eastAsiaTheme="minorEastAsia"/>
      <w:sz w:val="24"/>
      <w:lang w:val="en-US" w:eastAsia="en-US"/>
    </w:rPr>
  </w:style>
  <w:style w:type="character" w:customStyle="1" w:styleId="JuHIRomanChar">
    <w:name w:val="Ju_H_I_Roman Char"/>
    <w:link w:val="ECHRHeading1"/>
    <w:rsid w:val="00D31210"/>
    <w:rPr>
      <w:rFonts w:asciiTheme="majorHAnsi" w:eastAsiaTheme="majorEastAsia" w:hAnsiTheme="majorHAnsi" w:cstheme="majorBidi"/>
      <w:bCs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rsid w:val="00D00414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paragraph" w:customStyle="1" w:styleId="ECHRDecisionBody">
    <w:name w:val="ECHR_Decision_Body"/>
    <w:aliases w:val="Ju_Judges"/>
    <w:basedOn w:val="Normal"/>
    <w:link w:val="JuJudgesChar"/>
    <w:uiPriority w:val="11"/>
    <w:qFormat/>
    <w:rsid w:val="00D00414"/>
    <w:pPr>
      <w:tabs>
        <w:tab w:val="left" w:pos="567"/>
        <w:tab w:val="left" w:pos="1134"/>
      </w:tabs>
      <w:jc w:val="left"/>
    </w:pPr>
    <w:rPr>
      <w:lang w:val="fr-FR" w:eastAsia="fr-FR"/>
    </w:rPr>
  </w:style>
  <w:style w:type="character" w:customStyle="1" w:styleId="JuJudgesChar">
    <w:name w:val="Ju_Judges Char"/>
    <w:link w:val="ECHRDecisionBody"/>
    <w:uiPriority w:val="11"/>
    <w:rsid w:val="00287191"/>
    <w:rPr>
      <w:rFonts w:eastAsiaTheme="minorEastAsia"/>
      <w:sz w:val="24"/>
    </w:rPr>
  </w:style>
  <w:style w:type="character" w:styleId="Strong">
    <w:name w:val="Strong"/>
    <w:uiPriority w:val="99"/>
    <w:semiHidden/>
    <w:qFormat/>
    <w:rsid w:val="00D00414"/>
    <w:rPr>
      <w:b/>
      <w:bCs/>
    </w:rPr>
  </w:style>
  <w:style w:type="paragraph" w:customStyle="1" w:styleId="ECHRHeading2">
    <w:name w:val="ECHR_Heading_2"/>
    <w:aliases w:val="Ju_H_A"/>
    <w:basedOn w:val="Heading2"/>
    <w:next w:val="ECHRPara"/>
    <w:qFormat/>
    <w:rsid w:val="00D0041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  <w:lang w:val="fr-FR" w:eastAsia="fr-FR"/>
    </w:rPr>
  </w:style>
  <w:style w:type="paragraph" w:customStyle="1" w:styleId="ECHRParaQuote">
    <w:name w:val="ECHR_Para_Quote"/>
    <w:aliases w:val="Ju_Quot"/>
    <w:basedOn w:val="Normal"/>
    <w:uiPriority w:val="14"/>
    <w:qFormat/>
    <w:rsid w:val="00D00414"/>
    <w:pPr>
      <w:spacing w:before="120" w:after="120"/>
      <w:ind w:left="425" w:firstLine="142"/>
    </w:pPr>
    <w:rPr>
      <w:sz w:val="20"/>
      <w:lang w:val="fr-FR" w:eastAsia="fr-FR"/>
    </w:rPr>
  </w:style>
  <w:style w:type="paragraph" w:customStyle="1" w:styleId="JuSigned">
    <w:name w:val="Ju_Signed"/>
    <w:basedOn w:val="Normal"/>
    <w:next w:val="JuParaLast"/>
    <w:qFormat/>
    <w:rsid w:val="00D00414"/>
    <w:pPr>
      <w:tabs>
        <w:tab w:val="center" w:pos="851"/>
        <w:tab w:val="center" w:pos="6407"/>
      </w:tabs>
      <w:spacing w:before="720"/>
      <w:jc w:val="left"/>
    </w:pPr>
    <w:rPr>
      <w:lang w:val="fr-FR" w:eastAsia="fr-FR"/>
    </w:rPr>
  </w:style>
  <w:style w:type="paragraph" w:customStyle="1" w:styleId="JuParaLast">
    <w:name w:val="Ju_Para_Last"/>
    <w:basedOn w:val="Normal"/>
    <w:next w:val="ECHRPara"/>
    <w:uiPriority w:val="30"/>
    <w:qFormat/>
    <w:rsid w:val="00D00414"/>
    <w:pPr>
      <w:keepNext/>
      <w:keepLines/>
      <w:spacing w:before="240"/>
      <w:ind w:firstLine="284"/>
    </w:pPr>
    <w:rPr>
      <w:lang w:val="fr-FR" w:eastAsia="fr-FR"/>
    </w:rPr>
  </w:style>
  <w:style w:type="paragraph" w:customStyle="1" w:styleId="JuCase">
    <w:name w:val="Ju_Case"/>
    <w:basedOn w:val="Normal"/>
    <w:next w:val="ECHRPara"/>
    <w:uiPriority w:val="10"/>
    <w:rsid w:val="00D00414"/>
    <w:pPr>
      <w:ind w:firstLine="284"/>
    </w:pPr>
    <w:rPr>
      <w:b/>
    </w:rPr>
  </w:style>
  <w:style w:type="paragraph" w:customStyle="1" w:styleId="JuList">
    <w:name w:val="Ju_List"/>
    <w:basedOn w:val="Normal"/>
    <w:uiPriority w:val="28"/>
    <w:qFormat/>
    <w:rsid w:val="00D00414"/>
    <w:pPr>
      <w:ind w:left="340" w:hanging="340"/>
    </w:pPr>
    <w:rPr>
      <w:lang w:val="fr-FR" w:eastAsia="fr-FR"/>
    </w:rPr>
  </w:style>
  <w:style w:type="paragraph" w:customStyle="1" w:styleId="JuCourt">
    <w:name w:val="Ju_Court"/>
    <w:basedOn w:val="Normal"/>
    <w:next w:val="Normal"/>
    <w:uiPriority w:val="16"/>
    <w:qFormat/>
    <w:rsid w:val="00D0041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val="fr-FR" w:eastAsia="fr-FR" w:bidi="en-US"/>
    </w:rPr>
  </w:style>
  <w:style w:type="paragraph" w:styleId="FootnoteText">
    <w:name w:val="footnote text"/>
    <w:basedOn w:val="Normal"/>
    <w:link w:val="FootnoteTextChar"/>
    <w:uiPriority w:val="99"/>
    <w:semiHidden/>
    <w:rsid w:val="00D004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0041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D00414"/>
    <w:pPr>
      <w:tabs>
        <w:tab w:val="center" w:pos="4536"/>
        <w:tab w:val="right" w:pos="9072"/>
      </w:tabs>
    </w:pPr>
    <w:rPr>
      <w:rFonts w:eastAsiaTheme="minorHAnsi"/>
    </w:rPr>
  </w:style>
  <w:style w:type="character" w:styleId="PageNumber">
    <w:name w:val="page number"/>
    <w:uiPriority w:val="99"/>
    <w:semiHidden/>
    <w:rsid w:val="004219F0"/>
    <w:rPr>
      <w:rFonts w:ascii="Times New Roman" w:hAnsi="Times New Roman" w:cs="Times New Roman"/>
      <w:sz w:val="18"/>
    </w:rPr>
  </w:style>
  <w:style w:type="paragraph" w:customStyle="1" w:styleId="JuLista">
    <w:name w:val="Ju_List_a"/>
    <w:basedOn w:val="JuList"/>
    <w:uiPriority w:val="28"/>
    <w:qFormat/>
    <w:rsid w:val="00D00414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D00414"/>
    <w:pPr>
      <w:ind w:left="794"/>
    </w:pPr>
    <w:rPr>
      <w:lang w:val="fr-FR" w:eastAsia="fr-FR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00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D00414"/>
    <w:rPr>
      <w:color w:val="0072BC" w:themeColor="hyperlink"/>
      <w:u w:val="single"/>
    </w:rPr>
  </w:style>
  <w:style w:type="character" w:styleId="EndnoteReference">
    <w:name w:val="endnote reference"/>
    <w:uiPriority w:val="99"/>
    <w:semiHidden/>
    <w:rsid w:val="004219F0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uiPriority w:val="99"/>
    <w:semiHidden/>
    <w:rsid w:val="004219F0"/>
    <w:rPr>
      <w:sz w:val="20"/>
    </w:rPr>
  </w:style>
  <w:style w:type="character" w:styleId="FollowedHyperlink">
    <w:name w:val="FollowedHyperlink"/>
    <w:uiPriority w:val="99"/>
    <w:semiHidden/>
    <w:rsid w:val="004219F0"/>
    <w:rPr>
      <w:rFonts w:ascii="Times New Roman" w:hAnsi="Times New Roman" w:cs="Times New Roman"/>
      <w:color w:val="800080"/>
      <w:u w:val="single"/>
    </w:rPr>
  </w:style>
  <w:style w:type="paragraph" w:styleId="ListBullet">
    <w:name w:val="List Bullet"/>
    <w:basedOn w:val="Normal"/>
    <w:uiPriority w:val="99"/>
    <w:semiHidden/>
    <w:rsid w:val="00387F24"/>
    <w:pPr>
      <w:numPr>
        <w:numId w:val="1"/>
      </w:numPr>
    </w:pPr>
  </w:style>
  <w:style w:type="character" w:customStyle="1" w:styleId="JuNames">
    <w:name w:val="Ju_Names"/>
    <w:rsid w:val="004219F0"/>
    <w:rPr>
      <w:rFonts w:ascii="Times New Roman" w:hAnsi="Times New Roman" w:cs="Times New Roman"/>
      <w:smallCaps/>
    </w:rPr>
  </w:style>
  <w:style w:type="paragraph" w:styleId="CommentSubject">
    <w:name w:val="annotation subject"/>
    <w:basedOn w:val="CommentText"/>
    <w:next w:val="CommentText"/>
    <w:uiPriority w:val="99"/>
    <w:semiHidden/>
    <w:rsid w:val="00E27B15"/>
    <w:rPr>
      <w:b/>
      <w:bCs/>
    </w:rPr>
  </w:style>
  <w:style w:type="paragraph" w:styleId="DocumentMap">
    <w:name w:val="Document Map"/>
    <w:basedOn w:val="Normal"/>
    <w:uiPriority w:val="99"/>
    <w:semiHidden/>
    <w:rsid w:val="00B33C50"/>
    <w:pPr>
      <w:shd w:val="clear" w:color="auto" w:fill="000080"/>
    </w:pPr>
    <w:rPr>
      <w:rFonts w:ascii="Tahoma" w:hAnsi="Tahoma" w:cs="Tahoma"/>
      <w:sz w:val="20"/>
    </w:rPr>
  </w:style>
  <w:style w:type="character" w:customStyle="1" w:styleId="JuITMark">
    <w:name w:val="Ju_ITMark"/>
    <w:basedOn w:val="DefaultParagraphFont"/>
    <w:uiPriority w:val="38"/>
    <w:qFormat/>
    <w:rsid w:val="00D00414"/>
    <w:rPr>
      <w:vanish/>
      <w:color w:val="339966"/>
      <w:sz w:val="1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D00414"/>
    <w:rPr>
      <w:rFonts w:asciiTheme="majorHAnsi" w:eastAsiaTheme="majorEastAsia" w:hAnsiTheme="majorHAnsi" w:cstheme="majorBidi"/>
      <w:b/>
      <w:bCs/>
      <w:color w:val="333333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00414"/>
    <w:rPr>
      <w:rFonts w:asciiTheme="majorHAnsi" w:eastAsiaTheme="majorEastAsia" w:hAnsiTheme="majorHAnsi" w:cstheme="majorBidi"/>
      <w:b/>
      <w:bCs/>
      <w:color w:val="4D4D4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00414"/>
    <w:rPr>
      <w:rFonts w:asciiTheme="majorHAnsi" w:eastAsiaTheme="majorEastAsia" w:hAnsiTheme="majorHAnsi" w:cstheme="majorBidi"/>
      <w:b/>
      <w:bCs/>
      <w:color w:val="5F5F5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00414"/>
    <w:rPr>
      <w:rFonts w:asciiTheme="majorHAnsi" w:eastAsiaTheme="majorEastAsia" w:hAnsiTheme="majorHAnsi" w:cstheme="majorBidi"/>
      <w:b/>
      <w:bCs/>
      <w:i/>
      <w:iCs/>
      <w:color w:val="777777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00414"/>
    <w:rPr>
      <w:rFonts w:asciiTheme="majorHAnsi" w:eastAsiaTheme="majorEastAsia" w:hAnsiTheme="majorHAnsi" w:cstheme="majorBidi"/>
      <w:b/>
      <w:bCs/>
      <w:color w:val="80808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0041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0041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0041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0041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14"/>
    <w:rPr>
      <w:rFonts w:ascii="Tahoma" w:eastAsiaTheme="minorEastAsia" w:hAnsi="Tahoma" w:cs="Tahoma"/>
      <w:sz w:val="16"/>
      <w:szCs w:val="16"/>
      <w:lang w:val="en-US" w:eastAsia="en-US"/>
    </w:rPr>
  </w:style>
  <w:style w:type="character" w:styleId="BookTitle">
    <w:name w:val="Book Title"/>
    <w:uiPriority w:val="99"/>
    <w:semiHidden/>
    <w:qFormat/>
    <w:rsid w:val="00D00414"/>
    <w:rPr>
      <w:i/>
      <w:iCs/>
      <w:smallCaps/>
      <w:spacing w:val="5"/>
    </w:rPr>
  </w:style>
  <w:style w:type="paragraph" w:styleId="NoSpacing">
    <w:name w:val="No Spacing"/>
    <w:basedOn w:val="Normal"/>
    <w:link w:val="NoSpacingChar"/>
    <w:uiPriority w:val="99"/>
    <w:semiHidden/>
    <w:qFormat/>
    <w:rsid w:val="00D00414"/>
    <w:rPr>
      <w:sz w:val="22"/>
      <w:lang w:val="fr-FR" w:eastAsia="fr-FR"/>
    </w:rPr>
  </w:style>
  <w:style w:type="character" w:customStyle="1" w:styleId="NoSpacingChar">
    <w:name w:val="No Spacing Char"/>
    <w:basedOn w:val="DefaultParagraphFont"/>
    <w:link w:val="NoSpacing"/>
    <w:semiHidden/>
    <w:rsid w:val="00D00414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D0041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fr-FR" w:eastAsia="fr-FR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0041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D0041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fr-FR" w:eastAsia="fr-FR"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0041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customStyle="1" w:styleId="ECHRFooter">
    <w:name w:val="ECHR_Footer"/>
    <w:aliases w:val="Footer_ECHR"/>
    <w:basedOn w:val="Footer"/>
    <w:uiPriority w:val="57"/>
    <w:semiHidden/>
    <w:rsid w:val="00D00414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D00414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D00414"/>
    <w:rPr>
      <w:sz w:val="24"/>
      <w:lang w:val="en-US" w:eastAsia="en-US"/>
    </w:rPr>
  </w:style>
  <w:style w:type="paragraph" w:customStyle="1" w:styleId="ECHRHeader">
    <w:name w:val="ECHR_Header"/>
    <w:aliases w:val="Ju_Header"/>
    <w:basedOn w:val="Header"/>
    <w:uiPriority w:val="4"/>
    <w:qFormat/>
    <w:rsid w:val="00D00414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  <w:lang w:val="fr-FR" w:eastAsia="fr-FR"/>
    </w:rPr>
  </w:style>
  <w:style w:type="character" w:styleId="SubtleEmphasis">
    <w:name w:val="Subtle Emphasis"/>
    <w:uiPriority w:val="99"/>
    <w:semiHidden/>
    <w:qFormat/>
    <w:rsid w:val="00D00414"/>
    <w:rPr>
      <w:i/>
      <w:iCs/>
    </w:rPr>
  </w:style>
  <w:style w:type="character" w:styleId="Emphasis">
    <w:name w:val="Emphasis"/>
    <w:uiPriority w:val="99"/>
    <w:semiHidden/>
    <w:qFormat/>
    <w:rsid w:val="00D00414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D00414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414"/>
    <w:rPr>
      <w:rFonts w:eastAsiaTheme="minorEastAsia"/>
      <w:sz w:val="20"/>
      <w:szCs w:val="20"/>
      <w:lang w:val="en-US" w:eastAsia="en-US"/>
    </w:rPr>
  </w:style>
  <w:style w:type="character" w:styleId="IntenseEmphasis">
    <w:name w:val="Intense Emphasis"/>
    <w:uiPriority w:val="99"/>
    <w:semiHidden/>
    <w:qFormat/>
    <w:rsid w:val="00D0041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D0041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fr-FR" w:eastAsia="fr-FR"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D00414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D00414"/>
    <w:rPr>
      <w:smallCaps/>
      <w:spacing w:val="5"/>
      <w:u w:val="single"/>
    </w:rPr>
  </w:style>
  <w:style w:type="paragraph" w:customStyle="1" w:styleId="JuAppQuestion">
    <w:name w:val="Ju_App_Question"/>
    <w:basedOn w:val="Normal"/>
    <w:uiPriority w:val="5"/>
    <w:semiHidden/>
    <w:rsid w:val="00D00414"/>
    <w:pPr>
      <w:numPr>
        <w:numId w:val="2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D00414"/>
  </w:style>
  <w:style w:type="paragraph" w:customStyle="1" w:styleId="JuParaSub">
    <w:name w:val="Ju_Para_Sub"/>
    <w:basedOn w:val="ECHRPara"/>
    <w:uiPriority w:val="13"/>
    <w:qFormat/>
    <w:rsid w:val="00D00414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D00414"/>
  </w:style>
  <w:style w:type="paragraph" w:customStyle="1" w:styleId="OpiQuot">
    <w:name w:val="Opi_Quot"/>
    <w:basedOn w:val="ECHRParaQuote"/>
    <w:uiPriority w:val="48"/>
    <w:qFormat/>
    <w:rsid w:val="00D00414"/>
  </w:style>
  <w:style w:type="paragraph" w:customStyle="1" w:styleId="OpiQuotSub">
    <w:name w:val="Opi_Quot_Sub"/>
    <w:basedOn w:val="JuQuotSub"/>
    <w:uiPriority w:val="49"/>
    <w:qFormat/>
    <w:rsid w:val="00D00414"/>
  </w:style>
  <w:style w:type="paragraph" w:styleId="ListParagraph">
    <w:name w:val="List Paragraph"/>
    <w:basedOn w:val="Normal"/>
    <w:uiPriority w:val="99"/>
    <w:semiHidden/>
    <w:qFormat/>
    <w:rsid w:val="00D00414"/>
    <w:pPr>
      <w:ind w:left="720"/>
      <w:contextualSpacing/>
    </w:pPr>
    <w:rPr>
      <w:lang w:val="fr-FR" w:eastAsia="fr-FR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D00414"/>
    <w:pPr>
      <w:spacing w:before="200"/>
      <w:ind w:left="360" w:right="360"/>
    </w:pPr>
    <w:rPr>
      <w:i/>
      <w:iCs/>
      <w:sz w:val="22"/>
      <w:lang w:val="fr-FR" w:eastAsia="fr-FR"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D00414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D00414"/>
    <w:rPr>
      <w:smallCaps/>
    </w:rPr>
  </w:style>
  <w:style w:type="table" w:styleId="TableGrid">
    <w:name w:val="Table Grid"/>
    <w:basedOn w:val="TableNormal"/>
    <w:uiPriority w:val="99"/>
    <w:semiHidden/>
    <w:rsid w:val="00D00414"/>
    <w:rPr>
      <w:rFonts w:eastAsiaTheme="minorEastAsi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D00414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D00414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D00414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D00414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D00414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D00414"/>
    <w:pPr>
      <w:outlineLvl w:val="9"/>
    </w:pPr>
    <w:rPr>
      <w:color w:val="474747" w:themeColor="accent3" w:themeShade="BF"/>
      <w:lang w:val="fr-FR" w:eastAsia="fr-FR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D0041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val="fr-FR" w:eastAsia="fr-FR" w:bidi="en-US"/>
    </w:rPr>
  </w:style>
  <w:style w:type="paragraph" w:customStyle="1" w:styleId="ECHRTitleCentre2">
    <w:name w:val="ECHR_Title_Centre_2"/>
    <w:aliases w:val="Dec_H_Case"/>
    <w:basedOn w:val="Normal"/>
    <w:next w:val="ECHRPara"/>
    <w:uiPriority w:val="8"/>
    <w:semiHidden/>
    <w:rsid w:val="00D00414"/>
    <w:pPr>
      <w:spacing w:after="240"/>
      <w:jc w:val="center"/>
      <w:outlineLvl w:val="0"/>
    </w:pPr>
    <w:rPr>
      <w:rFonts w:asciiTheme="majorHAnsi" w:hAnsiTheme="majorHAnsi"/>
      <w:i/>
    </w:rPr>
  </w:style>
  <w:style w:type="paragraph" w:customStyle="1" w:styleId="JuTitle">
    <w:name w:val="Ju_Title"/>
    <w:basedOn w:val="Normal"/>
    <w:next w:val="ECHRPara"/>
    <w:uiPriority w:val="3"/>
    <w:semiHidden/>
    <w:rsid w:val="00D0041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D00414"/>
    <w:pPr>
      <w:keepNext/>
      <w:keepLines/>
      <w:spacing w:after="240"/>
      <w:jc w:val="center"/>
      <w:outlineLvl w:val="0"/>
    </w:pPr>
    <w:rPr>
      <w:rFonts w:asciiTheme="majorHAnsi" w:hAnsiTheme="majorHAnsi"/>
      <w:sz w:val="28"/>
      <w:lang w:val="fr-FR" w:eastAsia="fr-FR"/>
    </w:rPr>
  </w:style>
  <w:style w:type="paragraph" w:customStyle="1" w:styleId="JuQuotSub">
    <w:name w:val="Ju_Quot_Sub"/>
    <w:basedOn w:val="ECHRParaQuote"/>
    <w:uiPriority w:val="15"/>
    <w:qFormat/>
    <w:rsid w:val="00D00414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D00414"/>
    <w:pPr>
      <w:tabs>
        <w:tab w:val="center" w:pos="6407"/>
      </w:tabs>
      <w:spacing w:before="720"/>
      <w:jc w:val="right"/>
    </w:pPr>
    <w:rPr>
      <w:lang w:val="fr-FR" w:eastAsia="fr-FR"/>
    </w:rPr>
  </w:style>
  <w:style w:type="paragraph" w:customStyle="1" w:styleId="OpiHA">
    <w:name w:val="Opi_H_A"/>
    <w:basedOn w:val="ECHRHeading1"/>
    <w:next w:val="OpiPara"/>
    <w:uiPriority w:val="41"/>
    <w:qFormat/>
    <w:rsid w:val="00D00414"/>
    <w:pPr>
      <w:tabs>
        <w:tab w:val="clear" w:pos="357"/>
      </w:tabs>
      <w:outlineLvl w:val="1"/>
    </w:pPr>
    <w:rPr>
      <w:b/>
    </w:rPr>
  </w:style>
  <w:style w:type="character" w:customStyle="1" w:styleId="JUNAMES0">
    <w:name w:val="JU_NAMES"/>
    <w:uiPriority w:val="17"/>
    <w:qFormat/>
    <w:rsid w:val="00D00414"/>
    <w:rPr>
      <w:caps w:val="0"/>
      <w:smallCaps/>
    </w:rPr>
  </w:style>
  <w:style w:type="paragraph" w:customStyle="1" w:styleId="OpiTranslation">
    <w:name w:val="Opi_Translation"/>
    <w:basedOn w:val="Normal"/>
    <w:next w:val="OpiPara"/>
    <w:uiPriority w:val="40"/>
    <w:qFormat/>
    <w:rsid w:val="00D00414"/>
    <w:pPr>
      <w:jc w:val="center"/>
      <w:outlineLvl w:val="0"/>
    </w:pPr>
    <w:rPr>
      <w:i/>
      <w:lang w:val="fr-FR" w:eastAsia="fr-FR"/>
    </w:rPr>
  </w:style>
  <w:style w:type="paragraph" w:customStyle="1" w:styleId="DecHTitle">
    <w:name w:val="Dec_H_Title"/>
    <w:basedOn w:val="ECHRTitleCentre1"/>
    <w:uiPriority w:val="7"/>
    <w:semiHidden/>
    <w:rsid w:val="00D00414"/>
  </w:style>
  <w:style w:type="paragraph" w:styleId="TOAHeading">
    <w:name w:val="toa heading"/>
    <w:basedOn w:val="Normal"/>
    <w:next w:val="Normal"/>
    <w:uiPriority w:val="99"/>
    <w:semiHidden/>
    <w:rsid w:val="00D00414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D0041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  <w:lang w:val="fr-FR" w:eastAsia="fr-FR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D0041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  <w:lang w:val="fr-FR" w:eastAsia="fr-FR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D0041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D0041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  <w:lang w:val="fr-FR" w:eastAsia="fr-FR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D00414"/>
    <w:pPr>
      <w:keepNext/>
      <w:keepLines/>
      <w:spacing w:before="240" w:after="120"/>
      <w:ind w:left="1236"/>
    </w:pPr>
    <w:rPr>
      <w:sz w:val="20"/>
    </w:rPr>
  </w:style>
  <w:style w:type="paragraph" w:customStyle="1" w:styleId="DecList">
    <w:name w:val="Dec_List"/>
    <w:basedOn w:val="Normal"/>
    <w:uiPriority w:val="9"/>
    <w:semiHidden/>
    <w:rsid w:val="00D00414"/>
    <w:pPr>
      <w:spacing w:before="240"/>
      <w:ind w:left="284"/>
    </w:pPr>
  </w:style>
  <w:style w:type="paragraph" w:customStyle="1" w:styleId="OpiH1">
    <w:name w:val="Opi_H_1"/>
    <w:basedOn w:val="ECHRHeading2"/>
    <w:uiPriority w:val="42"/>
    <w:qFormat/>
    <w:rsid w:val="00D0041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D00414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D00414"/>
    <w:pPr>
      <w:ind w:left="1037" w:hanging="357"/>
      <w:outlineLvl w:val="4"/>
    </w:pPr>
    <w:rPr>
      <w:b w:val="0"/>
      <w:i/>
    </w:rPr>
  </w:style>
  <w:style w:type="numbering" w:styleId="111111">
    <w:name w:val="Outline List 2"/>
    <w:basedOn w:val="NoList"/>
    <w:uiPriority w:val="99"/>
    <w:semiHidden/>
    <w:rsid w:val="000C4043"/>
    <w:pPr>
      <w:numPr>
        <w:numId w:val="3"/>
      </w:numPr>
    </w:pPr>
  </w:style>
  <w:style w:type="numbering" w:styleId="1ai">
    <w:name w:val="Outline List 1"/>
    <w:basedOn w:val="NoList"/>
    <w:uiPriority w:val="99"/>
    <w:semiHidden/>
    <w:rsid w:val="000C4043"/>
    <w:pPr>
      <w:numPr>
        <w:numId w:val="4"/>
      </w:numPr>
    </w:pPr>
  </w:style>
  <w:style w:type="numbering" w:styleId="ArticleSection">
    <w:name w:val="Outline List 3"/>
    <w:basedOn w:val="NoList"/>
    <w:uiPriority w:val="99"/>
    <w:semiHidden/>
    <w:rsid w:val="000C4043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C4043"/>
  </w:style>
  <w:style w:type="paragraph" w:styleId="BlockText">
    <w:name w:val="Block Text"/>
    <w:basedOn w:val="Normal"/>
    <w:uiPriority w:val="99"/>
    <w:semiHidden/>
    <w:rsid w:val="000C4043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0C404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C4043"/>
    <w:rPr>
      <w:rFonts w:eastAsiaTheme="minorEastAsia"/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0C40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C4043"/>
    <w:rPr>
      <w:rFonts w:eastAsiaTheme="minorEastAsia"/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0C40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C4043"/>
    <w:rPr>
      <w:rFonts w:eastAsiaTheme="minorEastAsia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C404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C4043"/>
    <w:rPr>
      <w:rFonts w:eastAsiaTheme="minorEastAsia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0C40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C4043"/>
    <w:rPr>
      <w:rFonts w:eastAsiaTheme="minorEastAsia"/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C404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C4043"/>
    <w:rPr>
      <w:rFonts w:eastAsiaTheme="minorEastAsia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0C40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C4043"/>
    <w:rPr>
      <w:rFonts w:eastAsiaTheme="minorEastAsia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0C40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C4043"/>
    <w:rPr>
      <w:rFonts w:eastAsiaTheme="minorEastAsi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semiHidden/>
    <w:qFormat/>
    <w:rsid w:val="000C4043"/>
    <w:pPr>
      <w:spacing w:after="200"/>
    </w:pPr>
    <w:rPr>
      <w:b/>
      <w:bCs/>
      <w:color w:val="0072BC" w:themeColor="accent1"/>
      <w:sz w:val="18"/>
      <w:szCs w:val="18"/>
      <w:lang w:val="fr-FR" w:eastAsia="fr-FR"/>
    </w:rPr>
  </w:style>
  <w:style w:type="paragraph" w:styleId="Closing">
    <w:name w:val="Closing"/>
    <w:basedOn w:val="Normal"/>
    <w:link w:val="ClosingChar"/>
    <w:uiPriority w:val="99"/>
    <w:semiHidden/>
    <w:rsid w:val="000C4043"/>
    <w:pPr>
      <w:ind w:left="4252"/>
    </w:pPr>
  </w:style>
  <w:style w:type="character" w:customStyle="1" w:styleId="ClosingChar">
    <w:name w:val="Closing Char"/>
    <w:basedOn w:val="DefaultParagraphFont"/>
    <w:link w:val="Closing"/>
    <w:rsid w:val="000C4043"/>
    <w:rPr>
      <w:rFonts w:eastAsiaTheme="minorEastAsia"/>
      <w:sz w:val="24"/>
      <w:lang w:val="en-US" w:eastAsia="en-US"/>
    </w:rPr>
  </w:style>
  <w:style w:type="table" w:styleId="ColorfulGrid">
    <w:name w:val="Colorful Grid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C4043"/>
  </w:style>
  <w:style w:type="character" w:customStyle="1" w:styleId="DateChar">
    <w:name w:val="Date Char"/>
    <w:basedOn w:val="DefaultParagraphFont"/>
    <w:link w:val="Date"/>
    <w:rsid w:val="000C4043"/>
    <w:rPr>
      <w:rFonts w:eastAsiaTheme="minorEastAsia"/>
      <w:sz w:val="24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0C4043"/>
  </w:style>
  <w:style w:type="character" w:customStyle="1" w:styleId="E-mailSignatureChar">
    <w:name w:val="E-mail Signature Char"/>
    <w:basedOn w:val="DefaultParagraphFont"/>
    <w:link w:val="E-mailSignature"/>
    <w:rsid w:val="000C4043"/>
    <w:rPr>
      <w:rFonts w:eastAsiaTheme="minorEastAsia"/>
      <w:sz w:val="24"/>
      <w:lang w:val="en-US" w:eastAsia="en-US"/>
    </w:rPr>
  </w:style>
  <w:style w:type="paragraph" w:styleId="EnvelopeAddress">
    <w:name w:val="envelope address"/>
    <w:basedOn w:val="Normal"/>
    <w:uiPriority w:val="99"/>
    <w:semiHidden/>
    <w:rsid w:val="000C404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0C4043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C4043"/>
  </w:style>
  <w:style w:type="paragraph" w:styleId="HTMLAddress">
    <w:name w:val="HTML Address"/>
    <w:basedOn w:val="Normal"/>
    <w:link w:val="HTMLAddressChar"/>
    <w:uiPriority w:val="99"/>
    <w:semiHidden/>
    <w:rsid w:val="000C404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C4043"/>
    <w:rPr>
      <w:rFonts w:eastAsiaTheme="minorEastAsia"/>
      <w:i/>
      <w:iCs/>
      <w:sz w:val="24"/>
      <w:lang w:val="en-US" w:eastAsia="en-US"/>
    </w:rPr>
  </w:style>
  <w:style w:type="character" w:styleId="HTMLCite">
    <w:name w:val="HTML Cite"/>
    <w:basedOn w:val="DefaultParagraphFont"/>
    <w:uiPriority w:val="99"/>
    <w:semiHidden/>
    <w:rsid w:val="000C4043"/>
    <w:rPr>
      <w:i/>
      <w:iCs/>
    </w:rPr>
  </w:style>
  <w:style w:type="character" w:styleId="HTMLCode">
    <w:name w:val="HTML Code"/>
    <w:basedOn w:val="DefaultParagraphFont"/>
    <w:uiPriority w:val="99"/>
    <w:semiHidden/>
    <w:rsid w:val="000C404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C404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C404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C404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C4043"/>
    <w:rPr>
      <w:rFonts w:ascii="Consolas" w:eastAsiaTheme="minorEastAsia" w:hAnsi="Consolas" w:cs="Consolas"/>
      <w:sz w:val="20"/>
      <w:szCs w:val="20"/>
      <w:lang w:val="en-US" w:eastAsia="en-US"/>
    </w:rPr>
  </w:style>
  <w:style w:type="character" w:styleId="HTMLSample">
    <w:name w:val="HTML Sample"/>
    <w:basedOn w:val="DefaultParagraphFont"/>
    <w:uiPriority w:val="99"/>
    <w:semiHidden/>
    <w:rsid w:val="000C404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C404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C404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0C404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C404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C404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C404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C404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C404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C404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C404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C404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C404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0C404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0C4043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0C4043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0C4043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0C4043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0C4043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0C4043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C4043"/>
  </w:style>
  <w:style w:type="paragraph" w:styleId="List">
    <w:name w:val="List"/>
    <w:basedOn w:val="Normal"/>
    <w:uiPriority w:val="99"/>
    <w:semiHidden/>
    <w:rsid w:val="000C404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C404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C404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C404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C404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C4043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rsid w:val="000C4043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rsid w:val="000C4043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rsid w:val="000C4043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rsid w:val="000C404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C404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C404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C404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C404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C4043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rsid w:val="000C4043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rsid w:val="000C4043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0C4043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0C4043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rsid w:val="000C40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0C4043"/>
    <w:rPr>
      <w:rFonts w:ascii="Consolas" w:eastAsiaTheme="minorEastAsia" w:hAnsi="Consolas" w:cs="Consolas"/>
      <w:sz w:val="20"/>
      <w:szCs w:val="20"/>
      <w:lang w:val="en-US" w:eastAsia="en-US"/>
    </w:rPr>
  </w:style>
  <w:style w:type="table" w:styleId="MediumGrid1">
    <w:name w:val="Medium Grid 1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C40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C4043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rmalWeb">
    <w:name w:val="Normal (Web)"/>
    <w:basedOn w:val="Normal"/>
    <w:uiPriority w:val="99"/>
    <w:semiHidden/>
    <w:rsid w:val="000C404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0C404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C4043"/>
  </w:style>
  <w:style w:type="character" w:customStyle="1" w:styleId="NoteHeadingChar">
    <w:name w:val="Note Heading Char"/>
    <w:basedOn w:val="DefaultParagraphFont"/>
    <w:link w:val="NoteHeading"/>
    <w:rsid w:val="000C4043"/>
    <w:rPr>
      <w:rFonts w:eastAsiaTheme="minorEastAsia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C404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0C404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C4043"/>
    <w:rPr>
      <w:rFonts w:ascii="Consolas" w:eastAsiaTheme="minorEastAsia" w:hAnsi="Consolas" w:cs="Consolas"/>
      <w:sz w:val="21"/>
      <w:szCs w:val="21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C4043"/>
  </w:style>
  <w:style w:type="character" w:customStyle="1" w:styleId="SalutationChar">
    <w:name w:val="Salutation Char"/>
    <w:basedOn w:val="DefaultParagraphFont"/>
    <w:link w:val="Salutation"/>
    <w:rsid w:val="000C4043"/>
    <w:rPr>
      <w:rFonts w:eastAsiaTheme="minorEastAsia"/>
      <w:sz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rsid w:val="000C404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C4043"/>
    <w:rPr>
      <w:rFonts w:eastAsiaTheme="minorEastAsia"/>
      <w:sz w:val="24"/>
      <w:lang w:val="en-US" w:eastAsia="en-US"/>
    </w:rPr>
  </w:style>
  <w:style w:type="table" w:styleId="Table3Deffects1">
    <w:name w:val="Table 3D effects 1"/>
    <w:basedOn w:val="TableNormal"/>
    <w:uiPriority w:val="99"/>
    <w:semiHidden/>
    <w:rsid w:val="000C404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C404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C404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C4043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C4043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C4043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C4043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C4043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C4043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C4043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C4043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C4043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C4043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C4043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C4043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C4043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C4043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C4043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C404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C4043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C404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C404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C4043"/>
  </w:style>
  <w:style w:type="table" w:styleId="TableProfessional">
    <w:name w:val="Table Professional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C404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C404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C4043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0C4043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C4043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C4043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0C404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C404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C404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C4043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72FF6-FD8D-4974-9BCE-5ADB17378C88}"/>
</file>

<file path=customXml/itemProps2.xml><?xml version="1.0" encoding="utf-8"?>
<ds:datastoreItem xmlns:ds="http://schemas.openxmlformats.org/officeDocument/2006/customXml" ds:itemID="{5337C10D-A51C-442A-A7A2-76D291B5A358}"/>
</file>

<file path=customXml/itemProps3.xml><?xml version="1.0" encoding="utf-8"?>
<ds:datastoreItem xmlns:ds="http://schemas.openxmlformats.org/officeDocument/2006/customXml" ds:itemID="{13D23D3B-9690-4598-8323-D034EEE259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15757</CharactersWithSpaces>
  <SharedDoc>false</SharedDoc>
  <HLinks>
    <vt:vector size="6" baseType="variant"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http://insite.dhcour.coe.int/link/tikitlink.asp?doc=2309499&amp;lib=court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DJF</dc:subject>
  <dc:creator/>
  <cp:keywords/>
  <cp:lastModifiedBy/>
  <cp:revision>1</cp:revision>
  <cp:lastPrinted>2007-12-06T15:16:00Z</cp:lastPrinted>
  <dcterms:created xsi:type="dcterms:W3CDTF">2014-02-04T08:51:00Z</dcterms:created>
  <dcterms:modified xsi:type="dcterms:W3CDTF">2014-02-04T08:51:00Z</dcterms:modified>
  <cp:category>ECHR Template</cp:category>
</cp:coreProperties>
</file>